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32" w:rsidRPr="005146D4" w:rsidRDefault="00283332" w:rsidP="005146D4">
      <w:pPr>
        <w:spacing w:after="40"/>
        <w:rPr>
          <w:rFonts w:ascii="Times New Roman" w:hAnsi="Times New Roman" w:cs="Times New Roman"/>
          <w:b/>
          <w:lang w:eastAsia="ru-RU"/>
        </w:rPr>
      </w:pPr>
      <w:bookmarkStart w:id="0" w:name="_GoBack"/>
      <w:r w:rsidRPr="005146D4">
        <w:rPr>
          <w:rFonts w:ascii="Times New Roman" w:hAnsi="Times New Roman" w:cs="Times New Roman"/>
          <w:b/>
          <w:lang w:eastAsia="ru-RU"/>
        </w:rPr>
        <w:t>Стаття 4. Валовий доход</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4.1. Валовий доход - загальна сума доходу платника податку від усіх видів діяльності, отриманого (нарахованого) протягом звітного періоду в грошовій, матеріальній або нематеріальній формах як на території України, її континентальному шельфі, виключній (морській) економічній зоні, так і за їх межами.</w:t>
      </w:r>
    </w:p>
    <w:p w:rsidR="00283332" w:rsidRPr="005146D4" w:rsidRDefault="00283332" w:rsidP="005146D4">
      <w:pPr>
        <w:spacing w:after="40"/>
        <w:rPr>
          <w:rFonts w:ascii="Times New Roman" w:hAnsi="Times New Roman" w:cs="Times New Roman"/>
          <w:b/>
          <w:color w:val="2B2B2B"/>
          <w:lang w:eastAsia="ru-RU"/>
        </w:rPr>
      </w:pPr>
      <w:r w:rsidRPr="005146D4">
        <w:rPr>
          <w:rFonts w:ascii="Times New Roman" w:hAnsi="Times New Roman" w:cs="Times New Roman"/>
          <w:b/>
          <w:color w:val="2B2B2B"/>
          <w:lang w:eastAsia="ru-RU"/>
        </w:rPr>
        <w:t>Валовий доход включає:</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4.1.1. Загальні доходи від продажу товарів (робіт, послуг), у тому числі допоміжних та обслуговуючих виробництв, що не мають статусу юридичної особи, а також доходи від продажу цінних паперів, деривативів, іпотечних сертифікатів участі, іпотечних сертифікатів з фіксованою дохідністю, сертифікатів фондів операцій з нерухомістю (за винятком операцій з їх первинного випуску (розміщення), операцій з їх кінцевого погашення (ліквідації) та операцій з консолідованим іпотечним боргом відповідно до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4.1.2. Доходи від здійснення банківських, страхових та інших операцій з надання фінансових послуг, торгівлі валютними цінностями, цінними паперами, борговими зобов'язаннями та вимогами.</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4.1.3. Доходи від операцій, передбачених статтею 7 цього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4.1.4. Доходи від спільної діяльності та у вигляді процентів, роялті, володіння борговими вимогами, доходів від здійснення операцій лізингу (оренди), а також дивідендів (крім тих, які не підлягають включенню до валового доходу відповідно до підпункту 7.8.6 пункту 7.8 статті 7 цього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4.1.5. Доходи, не враховані в обчисленні валового доходу періодів, що передують звітному, та виявлені у звітному періоді.</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4.1.6. Доходи з інших джерел, у тому числі, але не виключно, у вигляді:</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сум безповоротної фінансової допомоги, отриманої платником податку у звітному періоді, вартості товарів (робіт, послуг), безоплатно наданих платнику податку у звітному періоді, крім їх надання неприбутковим організаціям згідно з пунктом 7.11 статті 7 цього Закону та у межах таких операцій між платником податку та його відокремленими підрозділами, які не мають статусу юридичної особи, крім випадків, визначених у частині четвертій статті 3 Закону України "Про списання вартості несплачених обсягів природного газу";сум поворотної фінансової допомоги, отриманої платником податку у звітному періоді, що залишається неповерненою на кінець такого звітного періоду від осіб, що не є платниками цього податку (у тому числі нерезидентів), або осіб, які згідно із законодавством мають пільги з цього податку, включаючи право застосовувати ставку податку нижчу, ніж установлена пунктом 7.2 статті 7 або статтею 10 цього Закону. У разі коли у майбутніх податкових періодах платник податку повертає таку поворотну фінансову допомогу (її частину) особі, яка її надала, такий платник податку збільшує суму валових витрат на суму такої поворотної фінансової допомоги (її частини) за наслідками податкового періоду, в якому відбулося таке повернення. При цьому валові доходи такого платника податку не збільшуються на суму умовно нарахованих процентів, а податкові зобов'язання особи, що надала поворотну фінансову допомогу, не змінюються як при її видачі, так і при її зворотному отриманні. Як виняток з правила, визначеного цим абзацом, операції з отримання (надання) фінансової допомоги між платником податку та його філіями, відділеннями, іншими відокремленими підрозділами, що не мають статусу юридичної особи, розташованими на території України, не призводять до зміни їх валових витрат або валових доходів;</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сум невикористаної частини коштів, що повертаються із страхових резервів у порядку, передбаченому пунктом 12.2 цього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сум заборгованості, що підлягає включенню до валових доходів згідно з пунктами 12.3 та 12.4 цього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сум коштів страхового резерву, використаних не за призначенням;</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вартості матеріальних цінностей, переданих платнику податку згідно з договорами схову (у відповідальне зберігання) та використаних ним у власному виробничому чи господарському обороті;</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сум штрафів та/або неустойки чи пені, фактично одержаних за рішенням сторін договору або за рішенням відповідних державних органів, суду;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lastRenderedPageBreak/>
        <w:t>сум державного мита</w:t>
      </w:r>
      <w:bookmarkEnd w:id="0"/>
      <w:r w:rsidRPr="005146D4">
        <w:rPr>
          <w:rFonts w:ascii="Times New Roman" w:hAnsi="Times New Roman" w:cs="Times New Roman"/>
          <w:color w:val="2B2B2B"/>
          <w:lang w:eastAsia="ru-RU"/>
        </w:rPr>
        <w:t>, попередньо сплаченого позивачем, що повертається на його користь за рішенням суду;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сум акцизного збору, сплачених (нарахованих) покупцями підакцизних товарів (за їх рахунок) на користь платника такого акцизного збору, уповноваженого законом вносити його до бюджету, та рентних платежів, а також сум збору у вигляді цільової надбавки до діючого тарифу на електричну та теплову енергію;</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доходів від продажу електричної енергії (включаючи реактивну);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сум дотацій і субсидій з фондів загальнообов'язкового державного соціального страхування або бюджетів, отриманих платником податку.</w:t>
      </w:r>
    </w:p>
    <w:p w:rsidR="00283332" w:rsidRPr="005146D4" w:rsidRDefault="00283332" w:rsidP="005146D4">
      <w:pPr>
        <w:spacing w:after="40"/>
        <w:rPr>
          <w:rFonts w:ascii="Times New Roman" w:hAnsi="Times New Roman" w:cs="Times New Roman"/>
          <w:b/>
          <w:color w:val="2B2B2B"/>
          <w:lang w:eastAsia="ru-RU"/>
        </w:rPr>
      </w:pPr>
      <w:r w:rsidRPr="005146D4">
        <w:rPr>
          <w:rFonts w:ascii="Times New Roman" w:hAnsi="Times New Roman" w:cs="Times New Roman"/>
          <w:b/>
          <w:color w:val="2B2B2B"/>
          <w:lang w:eastAsia="ru-RU"/>
        </w:rPr>
        <w:t>4.2. Не включаються до складу валового доходу: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 Суми податку на додану вартість, отримані (нараховані) платником податку на додану вартість, нарахованого на вартість продажу товарів (робіт, послуг), за винятком випадків, коли підприємство-продавець не є платником податку на додану вартість.</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До валових доходів платника, який зареєстрований як суб'єкт спеціального режиму оподаткування згідно із статтею 8</w:t>
      </w:r>
      <w:r w:rsidRPr="005146D4">
        <w:rPr>
          <w:rFonts w:ascii="Times New Roman" w:hAnsi="Times New Roman" w:cs="Times New Roman"/>
          <w:color w:val="2B2B2B"/>
          <w:vertAlign w:val="superscript"/>
          <w:lang w:eastAsia="ru-RU"/>
        </w:rPr>
        <w:t>1</w:t>
      </w:r>
      <w:r w:rsidRPr="005146D4">
        <w:rPr>
          <w:rFonts w:ascii="Times New Roman" w:hAnsi="Times New Roman" w:cs="Times New Roman"/>
          <w:color w:val="2B2B2B"/>
          <w:lang w:eastAsia="ru-RU"/>
        </w:rPr>
        <w:t> Закону України "Про податок на додану вартість", включається позитивна різниця між сумами податку на додану вартість, нарахованими таким сільськогосподарським підприємством на ціну поставлених ним сільськогосподарських товарів протягом звітного або попередніх звітному періодів, та сумами податку на додану вартість, сплаченими (нарахованими) ним протягом звітного періоду на ціну виробничих факторів, визначених пунктом 8</w:t>
      </w:r>
      <w:r w:rsidRPr="005146D4">
        <w:rPr>
          <w:rFonts w:ascii="Times New Roman" w:hAnsi="Times New Roman" w:cs="Times New Roman"/>
          <w:color w:val="2B2B2B"/>
          <w:vertAlign w:val="superscript"/>
          <w:lang w:eastAsia="ru-RU"/>
        </w:rPr>
        <w:t>1</w:t>
      </w:r>
      <w:r w:rsidRPr="005146D4">
        <w:rPr>
          <w:rFonts w:ascii="Times New Roman" w:hAnsi="Times New Roman" w:cs="Times New Roman"/>
          <w:color w:val="2B2B2B"/>
          <w:lang w:eastAsia="ru-RU"/>
        </w:rPr>
        <w:t>.15 статті 8</w:t>
      </w:r>
      <w:r w:rsidRPr="005146D4">
        <w:rPr>
          <w:rFonts w:ascii="Times New Roman" w:hAnsi="Times New Roman" w:cs="Times New Roman"/>
          <w:color w:val="2B2B2B"/>
          <w:vertAlign w:val="superscript"/>
          <w:lang w:eastAsia="ru-RU"/>
        </w:rPr>
        <w:t>1</w:t>
      </w:r>
      <w:r w:rsidRPr="005146D4">
        <w:rPr>
          <w:rFonts w:ascii="Times New Roman" w:hAnsi="Times New Roman" w:cs="Times New Roman"/>
          <w:color w:val="2B2B2B"/>
          <w:lang w:eastAsia="ru-RU"/>
        </w:rPr>
        <w:t> зазначеного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4.2.2. Суми коштів або вартість майна, отримані платником податку як компенсація (відшкодування) за примусове відчуження державою іншого майна платника податку у випадках, передбачених законодавством.</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4.2.3. Суми коштів або вартість майна, отримані платником податку за рішенням суду або внаслідок задоволення претензій у порядку, встановленому законодавством як компенсація прямих витрат або збитків, понесених таким платником податку в результаті порушення його прав та інтересів, що охороняються законом, у разі якщо вони не були віднесені таким платником податку до складу валових витрат, або відшкодовані за рахунок коштів страхових резервів.</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4.2.4. Суми коштів у частині надмірно сплачених податків, зборів (обов'язкових платежів), що повертаються або мають бути повернені платнику податку з бюджетів, якщо такі суми не були включені до складу валових витрат.</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4.2.5. Суми коштів або вартість майна, що надходять платнику податку у вигляді прямих інвестицій або реінвестицій у корпоративні права, емітовані таким платником податку, в тому числі грошові або майнові внески, згідно з договорами про спільну діяльність на території України без створення юридичної особи.</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4.2.6. Суми доходів органів виконавчої влади та органів місцевого самоврядування від надання державних послуг (видачі дозволів (ліцензій), сертифікатів, посвідчень, реєстрації, інших послуг, обов'язковість придбання яких передбачена законодавством), у разі зарахування таких доходів до відповідних бюджетів.</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4.2.7. Суми коштів у вигляді внесків, які:</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а) надходять до платників податку, що здійснюють недержавне пенсійне забезпечення відповідно до закону, від вкладників пенсійних фондів, вкладників пенсійних депозитних рахунків, а також осіб, що уклали договори страхування відповідно до Закону України "Про недержавне пенсійне забезпечення";</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б) надходять до страховиків, що здійснюють довгострокове страхування життя, від страхувальників;</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в) накопичуються за пенсійними вкладами, рахунками учасників фондів банківського управління відповідно до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суми надходжень до неприбуткових установ і організацій згідно з вимогами пункту 7.11 цього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 xml:space="preserve">4.2.8. Кошти спільного інвестування, а саме кошти, залучені від інвесторів інститутів спільного інвестування (ІСІ), доходи від здійснення операцій з активами ІСІ та доходи, нараховані за активами ІСІ, а також кошти, залучені від власників сертифікатів фондів операцій з нерухомістю, доходи від здійснення </w:t>
      </w:r>
      <w:r w:rsidRPr="005146D4">
        <w:rPr>
          <w:rFonts w:ascii="Times New Roman" w:hAnsi="Times New Roman" w:cs="Times New Roman"/>
          <w:color w:val="2B2B2B"/>
          <w:lang w:eastAsia="ru-RU"/>
        </w:rPr>
        <w:lastRenderedPageBreak/>
        <w:t>операцій з активами фондів операцій з нерухомістю та доходи, нараховані за активами фондів операцій з нерухомістю, створених відповідно до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4.2.9. Підпункт 4.2.9 пункту 4.2 статті 4 виключено</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4.2.9. Суми одержаного платником податку емісійного доходу.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4.2.10. Номінальну вартість взятих на облік, але неоплачених (непогашених) цінних паперів, які засвідчують відносини позики, а також платіжних документів, емітованих (виданих) боржником на користь (на ім'я) платника податку як забезпечення або підтвердження заборгованості такого боржника перед таким платником податку (облігацій, ощадних сертифікатів, казначейських зобов'язань, векселів, боргових розписок, акредитивів, чеків, гарантій, банківських наказів та інших подібних платіжних документів).</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4.2.11. Доходи від спільної діяльності на території України без створення юридичної особи, що оподатковані у порядку, встановленому пунктом 7.7 статті 7 цього Закону, та дивіденди, які не підлягають включенню до валового доходу відповідно до підпункту 7.8.6 пункту 7.8 статті 7 цього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4.2.12. Кошти або майно, які повертаються власнику корпоративних прав, емітованих юридичною особою, після повної і кінцевої ліквідації такої юридичної особи-емітента, або після закінчення договору про спільну діяльність, але не вище номінальної вартості акцій (часток, паїв).</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4.2.13. Кошти або майно, що надходять у вигляді міжнародної технічної допомоги, яка надається іншими державами відповідно до міжнародних угод, що набрали чинності у встановленому законодавством порядку.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4.2.14. Кошти, що надаються платнику податку з Державного інноваційного фонду на зворотній основі при здійсненні інноваційних проектів у порядку, визначеному Кабінетом Міністрів України.</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4.2.15. Вартість основних фондів, безоплатно отриманих платником податку з метою здійснення їх експлуатації у випадках, передбачених законодавством:</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якщо такі основні фонди отримані за рішенням органів центральної виконавчої влади;</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у разі отримання спеціалізованими експлуатуючими підприємствами об'єктів енергопостачання, газо- і теплозабезпечення, водопостачання, каналізаційних мереж відповідно до рішень місцевих органів виконавчої влади та виконавчих органів рад, прийнятих у межах їх повноважень;</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у разі отримання підприємствами комунальної власності об'єктів соціальної інфраструктури, зазначених у підпункті 5.4.9 пункту 5.4 статті 5 цього Закону, що перебували на балансі інших підприємств та утримувалися за їх рахунок.</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Основні фонди, що отримуються у випадках, передбачених цим підпунктом, приймаються на баланс за ринковою (оціночною) вартістю і з метою оподаткування не підлягають амортизації.</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Порядок безоплатної передачі таких основних фондів встановлюється Кабінетом Міністрів України.</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4.2.16. Кошти або майно, що надаються у вигляді безповоротної допомоги громадським організаціям інвалідів та підприємствам і організаціям, що визначені пунктом 7.12 статті 7 цього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4.2.17. Інші надходження, прямо визначені нормами цього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4.2.18. До 1 січня 2003 року кошти, що надходять з окремого спеціального рахунку Державного казначейства України підприємствам гірничо-металургійного комплексу на реалізацію інвестиційних проектів, у тому числі для проведення реструктуризації, виведення надлишкових та неефективних потужностей, відповідно до статті 3 Закону України "Про подальший розвиток гірничо-металургійного комплексу";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4.2.19. Суми коштів або вартість майна, одержаних засновником третейського суду як третейський збір чи на покриття інших витрат, пов'язаних з вирішенням спору третейським судом відповідно до закону;</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4.2.20. Підпункт 4.2.20 пункту 4.2 статті 4 виключено</w:t>
      </w:r>
    </w:p>
    <w:p w:rsidR="00283332" w:rsidRPr="005146D4" w:rsidRDefault="00283332" w:rsidP="005146D4">
      <w:pPr>
        <w:spacing w:after="40"/>
        <w:rPr>
          <w:rFonts w:ascii="Times New Roman" w:hAnsi="Times New Roman" w:cs="Times New Roman"/>
          <w:color w:val="2B2B2B"/>
          <w:lang w:eastAsia="ru-RU"/>
        </w:rPr>
      </w:pPr>
      <w:r w:rsidRPr="005146D4">
        <w:rPr>
          <w:rFonts w:ascii="Times New Roman" w:hAnsi="Times New Roman" w:cs="Times New Roman"/>
          <w:color w:val="2B2B2B"/>
          <w:lang w:eastAsia="ru-RU"/>
        </w:rPr>
        <w:t xml:space="preserve">4.3. </w:t>
      </w:r>
      <w:r w:rsidRPr="005146D4">
        <w:rPr>
          <w:rFonts w:ascii="Times New Roman" w:hAnsi="Times New Roman" w:cs="Times New Roman"/>
          <w:b/>
          <w:color w:val="2B2B2B"/>
          <w:lang w:eastAsia="ru-RU"/>
        </w:rPr>
        <w:t>Скоригований валовий доход</w:t>
      </w:r>
      <w:r w:rsidRPr="005146D4">
        <w:rPr>
          <w:rFonts w:ascii="Times New Roman" w:hAnsi="Times New Roman" w:cs="Times New Roman"/>
          <w:color w:val="2B2B2B"/>
          <w:lang w:eastAsia="ru-RU"/>
        </w:rPr>
        <w:t xml:space="preserve"> - валовий доход, визначений згідно з пунктом 4.1 цієї статті без врахування доходів, зазначених у пункті 4.2 цієї статті.</w:t>
      </w:r>
    </w:p>
    <w:p w:rsidR="00206462" w:rsidRPr="005146D4" w:rsidRDefault="00206462" w:rsidP="005146D4">
      <w:pPr>
        <w:spacing w:after="40"/>
        <w:rPr>
          <w:rFonts w:ascii="Times New Roman" w:hAnsi="Times New Roman" w:cs="Times New Roman"/>
        </w:rPr>
      </w:pPr>
    </w:p>
    <w:sectPr w:rsidR="00206462" w:rsidRPr="005146D4" w:rsidSect="005146D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98" w:rsidRDefault="00377798" w:rsidP="005146D4">
      <w:pPr>
        <w:spacing w:after="0" w:line="240" w:lineRule="auto"/>
      </w:pPr>
      <w:r>
        <w:separator/>
      </w:r>
    </w:p>
  </w:endnote>
  <w:endnote w:type="continuationSeparator" w:id="0">
    <w:p w:rsidR="00377798" w:rsidRDefault="00377798" w:rsidP="0051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0B" w:rsidRDefault="00BA3A0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9282"/>
    </w:sdtPr>
    <w:sdtEndPr/>
    <w:sdtContent>
      <w:p w:rsidR="005146D4" w:rsidRDefault="00BA3A0B">
        <w:pPr>
          <w:pStyle w:val="a6"/>
          <w:jc w:val="right"/>
        </w:pPr>
        <w:r>
          <w:fldChar w:fldCharType="begin"/>
        </w:r>
        <w:r>
          <w:instrText xml:space="preserve"> PAGE   \* MERGEFORMAT </w:instrText>
        </w:r>
        <w:r>
          <w:fldChar w:fldCharType="separate"/>
        </w:r>
        <w:r>
          <w:rPr>
            <w:noProof/>
          </w:rPr>
          <w:t>2</w:t>
        </w:r>
        <w:r>
          <w:rPr>
            <w:noProof/>
          </w:rPr>
          <w:fldChar w:fldCharType="end"/>
        </w:r>
      </w:p>
    </w:sdtContent>
  </w:sdt>
  <w:p w:rsidR="005146D4" w:rsidRDefault="005146D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0B" w:rsidRDefault="00BA3A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98" w:rsidRDefault="00377798" w:rsidP="005146D4">
      <w:pPr>
        <w:spacing w:after="0" w:line="240" w:lineRule="auto"/>
      </w:pPr>
      <w:r>
        <w:separator/>
      </w:r>
    </w:p>
  </w:footnote>
  <w:footnote w:type="continuationSeparator" w:id="0">
    <w:p w:rsidR="00377798" w:rsidRDefault="00377798" w:rsidP="0051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0B" w:rsidRDefault="00BA3A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0B" w:rsidRPr="00BA3A0B" w:rsidRDefault="00BA3A0B" w:rsidP="00BA3A0B">
    <w:pPr>
      <w:pStyle w:val="a4"/>
      <w:jc w:val="center"/>
      <w:rPr>
        <w:rFonts w:ascii="Tahoma" w:hAnsi="Tahoma"/>
        <w:b/>
        <w:color w:val="B3B3B3"/>
        <w:sz w:val="14"/>
      </w:rPr>
    </w:pPr>
    <w:hyperlink r:id="rId1" w:history="1">
      <w:r w:rsidRPr="00BA3A0B">
        <w:rPr>
          <w:rStyle w:val="a8"/>
          <w:rFonts w:ascii="Tahoma" w:hAnsi="Tahoma"/>
          <w:b/>
          <w:color w:val="B3B3B3"/>
          <w:sz w:val="14"/>
        </w:rPr>
        <w:t>http://antibotan.com/</w:t>
      </w:r>
    </w:hyperlink>
    <w:r w:rsidRPr="00BA3A0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0B" w:rsidRDefault="00BA3A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3332"/>
    <w:rsid w:val="00206462"/>
    <w:rsid w:val="00283332"/>
    <w:rsid w:val="00377798"/>
    <w:rsid w:val="005146D4"/>
    <w:rsid w:val="00BA3A0B"/>
    <w:rsid w:val="00E42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62"/>
  </w:style>
  <w:style w:type="paragraph" w:styleId="3">
    <w:name w:val="heading 3"/>
    <w:basedOn w:val="a"/>
    <w:link w:val="30"/>
    <w:uiPriority w:val="9"/>
    <w:qFormat/>
    <w:rsid w:val="002833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333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83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3332"/>
  </w:style>
  <w:style w:type="paragraph" w:styleId="a4">
    <w:name w:val="header"/>
    <w:basedOn w:val="a"/>
    <w:link w:val="a5"/>
    <w:uiPriority w:val="99"/>
    <w:unhideWhenUsed/>
    <w:rsid w:val="005146D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146D4"/>
  </w:style>
  <w:style w:type="paragraph" w:styleId="a6">
    <w:name w:val="footer"/>
    <w:basedOn w:val="a"/>
    <w:link w:val="a7"/>
    <w:uiPriority w:val="99"/>
    <w:unhideWhenUsed/>
    <w:rsid w:val="005146D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5146D4"/>
  </w:style>
  <w:style w:type="character" w:styleId="a8">
    <w:name w:val="Hyperlink"/>
    <w:basedOn w:val="a0"/>
    <w:uiPriority w:val="99"/>
    <w:unhideWhenUsed/>
    <w:rsid w:val="00BA3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1521</Words>
  <Characters>10161</Characters>
  <Application>Microsoft Office Word</Application>
  <DocSecurity>0</DocSecurity>
  <Lines>137</Lines>
  <Paragraphs>52</Paragraphs>
  <ScaleCrop>false</ScaleCrop>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5</cp:revision>
  <dcterms:created xsi:type="dcterms:W3CDTF">2012-01-15T08:54:00Z</dcterms:created>
  <dcterms:modified xsi:type="dcterms:W3CDTF">2013-02-21T08:33:00Z</dcterms:modified>
</cp:coreProperties>
</file>