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721"/>
        <w:tblW w:w="10173" w:type="dxa"/>
        <w:tblLook w:val="01E0" w:firstRow="1" w:lastRow="1" w:firstColumn="1" w:lastColumn="1" w:noHBand="0" w:noVBand="0"/>
      </w:tblPr>
      <w:tblGrid>
        <w:gridCol w:w="3699"/>
        <w:gridCol w:w="3639"/>
        <w:gridCol w:w="2835"/>
      </w:tblGrid>
      <w:tr w:rsidR="00635B53" w:rsidRPr="00010AAC" w:rsidTr="00731364">
        <w:trPr>
          <w:trHeight w:val="558"/>
        </w:trPr>
        <w:tc>
          <w:tcPr>
            <w:tcW w:w="10173" w:type="dxa"/>
            <w:gridSpan w:val="3"/>
            <w:vAlign w:val="center"/>
          </w:tcPr>
          <w:p w:rsidR="00635B53" w:rsidRPr="00731364" w:rsidRDefault="00635B53" w:rsidP="00635B5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bookmarkStart w:id="0" w:name="_GoBack"/>
            <w:r w:rsidRPr="00731364">
              <w:rPr>
                <w:b/>
                <w:i/>
                <w:sz w:val="28"/>
                <w:szCs w:val="28"/>
                <w:lang w:val="uk-UA"/>
              </w:rPr>
              <w:t>Організаційна карта підрозділу:</w:t>
            </w:r>
          </w:p>
        </w:tc>
      </w:tr>
      <w:tr w:rsidR="00635B53" w:rsidRPr="00731364" w:rsidTr="00731364">
        <w:trPr>
          <w:trHeight w:val="417"/>
        </w:trPr>
        <w:tc>
          <w:tcPr>
            <w:tcW w:w="10173" w:type="dxa"/>
            <w:gridSpan w:val="3"/>
          </w:tcPr>
          <w:p w:rsidR="00635B53" w:rsidRPr="00731364" w:rsidRDefault="00635B53" w:rsidP="00635B5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31364">
              <w:rPr>
                <w:b/>
                <w:sz w:val="26"/>
                <w:szCs w:val="26"/>
                <w:lang w:val="uk-UA"/>
              </w:rPr>
              <w:t xml:space="preserve">Найменування процесу: </w:t>
            </w:r>
            <w:r w:rsidRPr="00731364">
              <w:rPr>
                <w:sz w:val="26"/>
                <w:szCs w:val="26"/>
                <w:lang w:val="uk-UA"/>
              </w:rPr>
              <w:t>Процес внутрішнього аудиту</w:t>
            </w:r>
          </w:p>
        </w:tc>
      </w:tr>
      <w:tr w:rsidR="00731364" w:rsidRPr="00731364" w:rsidTr="00731364">
        <w:trPr>
          <w:trHeight w:val="265"/>
        </w:trPr>
        <w:tc>
          <w:tcPr>
            <w:tcW w:w="3699" w:type="dxa"/>
            <w:vMerge w:val="restart"/>
          </w:tcPr>
          <w:p w:rsidR="00635B53" w:rsidRPr="00731364" w:rsidRDefault="00635B53" w:rsidP="00635B5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31364">
              <w:rPr>
                <w:b/>
                <w:sz w:val="26"/>
                <w:szCs w:val="26"/>
                <w:lang w:val="uk-UA"/>
              </w:rPr>
              <w:t>Керівник підрозділу</w:t>
            </w:r>
          </w:p>
          <w:p w:rsidR="00635B53" w:rsidRPr="00731364" w:rsidRDefault="00731364" w:rsidP="00635B53">
            <w:pPr>
              <w:jc w:val="both"/>
              <w:rPr>
                <w:sz w:val="26"/>
                <w:szCs w:val="26"/>
                <w:lang w:val="uk-UA"/>
              </w:rPr>
            </w:pPr>
            <w:r w:rsidRPr="00731364">
              <w:rPr>
                <w:sz w:val="26"/>
                <w:szCs w:val="26"/>
                <w:lang w:val="uk-UA"/>
              </w:rPr>
              <w:t>Внутрішній аудитор</w:t>
            </w:r>
          </w:p>
        </w:tc>
        <w:tc>
          <w:tcPr>
            <w:tcW w:w="3639" w:type="dxa"/>
            <w:vMerge w:val="restart"/>
          </w:tcPr>
          <w:p w:rsidR="00635B53" w:rsidRPr="00731364" w:rsidRDefault="00635B53" w:rsidP="00635B53">
            <w:pPr>
              <w:jc w:val="both"/>
              <w:rPr>
                <w:sz w:val="26"/>
                <w:szCs w:val="26"/>
                <w:lang w:val="uk-UA"/>
              </w:rPr>
            </w:pPr>
            <w:r w:rsidRPr="00731364">
              <w:rPr>
                <w:sz w:val="26"/>
                <w:szCs w:val="26"/>
                <w:lang w:val="uk-UA"/>
              </w:rPr>
              <w:t>Власник процесу</w:t>
            </w:r>
          </w:p>
          <w:p w:rsidR="00635B53" w:rsidRPr="00731364" w:rsidRDefault="00731364" w:rsidP="00635B5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Самсон Микола</w:t>
            </w:r>
          </w:p>
        </w:tc>
        <w:tc>
          <w:tcPr>
            <w:tcW w:w="2835" w:type="dxa"/>
          </w:tcPr>
          <w:p w:rsidR="00635B53" w:rsidRPr="00731364" w:rsidRDefault="00635B53" w:rsidP="00731364">
            <w:pPr>
              <w:jc w:val="both"/>
              <w:rPr>
                <w:sz w:val="26"/>
                <w:szCs w:val="26"/>
                <w:lang w:val="uk-UA"/>
              </w:rPr>
            </w:pPr>
            <w:r w:rsidRPr="00731364">
              <w:rPr>
                <w:sz w:val="26"/>
                <w:szCs w:val="26"/>
                <w:lang w:val="uk-UA"/>
              </w:rPr>
              <w:t>Шифр</w:t>
            </w:r>
            <w:r w:rsidR="00731364">
              <w:rPr>
                <w:sz w:val="26"/>
                <w:szCs w:val="26"/>
                <w:lang w:val="uk-UA"/>
              </w:rPr>
              <w:t xml:space="preserve"> 008</w:t>
            </w:r>
          </w:p>
        </w:tc>
      </w:tr>
      <w:tr w:rsidR="00731364" w:rsidRPr="00731364" w:rsidTr="00731364">
        <w:trPr>
          <w:trHeight w:val="380"/>
        </w:trPr>
        <w:tc>
          <w:tcPr>
            <w:tcW w:w="3699" w:type="dxa"/>
            <w:vMerge/>
          </w:tcPr>
          <w:p w:rsidR="00635B53" w:rsidRPr="00731364" w:rsidRDefault="00635B53" w:rsidP="00635B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39" w:type="dxa"/>
            <w:vMerge/>
          </w:tcPr>
          <w:p w:rsidR="00635B53" w:rsidRPr="00731364" w:rsidRDefault="00635B53" w:rsidP="00635B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635B53" w:rsidRPr="00731364" w:rsidRDefault="00635B53" w:rsidP="00635B53">
            <w:pPr>
              <w:jc w:val="both"/>
              <w:rPr>
                <w:sz w:val="26"/>
                <w:szCs w:val="26"/>
                <w:lang w:val="uk-UA"/>
              </w:rPr>
            </w:pPr>
            <w:r w:rsidRPr="00731364">
              <w:rPr>
                <w:sz w:val="26"/>
                <w:szCs w:val="26"/>
                <w:lang w:val="uk-UA"/>
              </w:rPr>
              <w:t>Дата набуття чинності 16.10.2008</w:t>
            </w:r>
          </w:p>
        </w:tc>
      </w:tr>
      <w:tr w:rsidR="00635B53" w:rsidRPr="00731364" w:rsidTr="00731364">
        <w:trPr>
          <w:trHeight w:val="701"/>
        </w:trPr>
        <w:tc>
          <w:tcPr>
            <w:tcW w:w="10173" w:type="dxa"/>
            <w:gridSpan w:val="3"/>
          </w:tcPr>
          <w:p w:rsidR="00731364" w:rsidRDefault="00635B53" w:rsidP="00635B5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31364">
              <w:rPr>
                <w:b/>
                <w:sz w:val="26"/>
                <w:szCs w:val="26"/>
                <w:lang w:val="uk-UA"/>
              </w:rPr>
              <w:t>Нормативні документи</w:t>
            </w:r>
          </w:p>
          <w:p w:rsidR="00635B53" w:rsidRPr="00E21C06" w:rsidRDefault="00635B53" w:rsidP="00635B5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31364">
              <w:rPr>
                <w:sz w:val="26"/>
                <w:szCs w:val="26"/>
                <w:lang w:val="uk-UA"/>
              </w:rPr>
              <w:t>ЗУ” Про господарську діяльність ”, ГКУ, Стандарти підприємства, Установчий договір, Статут</w:t>
            </w:r>
            <w:r w:rsidR="00E21C06">
              <w:rPr>
                <w:sz w:val="26"/>
                <w:szCs w:val="26"/>
                <w:lang w:val="uk-UA"/>
              </w:rPr>
              <w:t xml:space="preserve">, стандарти </w:t>
            </w:r>
            <w:r w:rsidR="00E21C06">
              <w:rPr>
                <w:sz w:val="26"/>
                <w:szCs w:val="26"/>
                <w:lang w:val="en-US"/>
              </w:rPr>
              <w:t>ISO</w:t>
            </w:r>
            <w:r w:rsidR="00E21C06">
              <w:rPr>
                <w:sz w:val="26"/>
                <w:szCs w:val="26"/>
                <w:lang w:val="uk-UA"/>
              </w:rPr>
              <w:t>, управлінська документація, інструкції проведення перевірки</w:t>
            </w:r>
          </w:p>
        </w:tc>
      </w:tr>
      <w:tr w:rsidR="00635B53" w:rsidRPr="00731364" w:rsidTr="00731364">
        <w:trPr>
          <w:trHeight w:val="414"/>
        </w:trPr>
        <w:tc>
          <w:tcPr>
            <w:tcW w:w="10173" w:type="dxa"/>
            <w:gridSpan w:val="3"/>
          </w:tcPr>
          <w:p w:rsidR="00635B53" w:rsidRPr="00731364" w:rsidRDefault="00635B53" w:rsidP="00E21C0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31364">
              <w:rPr>
                <w:b/>
                <w:sz w:val="26"/>
                <w:szCs w:val="26"/>
                <w:lang w:val="uk-UA"/>
              </w:rPr>
              <w:t xml:space="preserve">Вхідні потоки: </w:t>
            </w:r>
            <w:r w:rsidR="00E21C06">
              <w:rPr>
                <w:sz w:val="26"/>
                <w:szCs w:val="26"/>
                <w:lang w:val="uk-UA"/>
              </w:rPr>
              <w:t>результати аналізу даних</w:t>
            </w:r>
          </w:p>
        </w:tc>
      </w:tr>
      <w:tr w:rsidR="00635B53" w:rsidRPr="00731364" w:rsidTr="00731364">
        <w:trPr>
          <w:trHeight w:val="703"/>
        </w:trPr>
        <w:tc>
          <w:tcPr>
            <w:tcW w:w="10173" w:type="dxa"/>
            <w:gridSpan w:val="3"/>
          </w:tcPr>
          <w:p w:rsidR="00635B53" w:rsidRPr="00731364" w:rsidRDefault="00635B53" w:rsidP="00E21C0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31364">
              <w:rPr>
                <w:b/>
                <w:sz w:val="26"/>
                <w:szCs w:val="26"/>
                <w:lang w:val="uk-UA"/>
              </w:rPr>
              <w:t xml:space="preserve">Форма отримання вхідних потоків: </w:t>
            </w:r>
            <w:r w:rsidRPr="00731364">
              <w:rPr>
                <w:sz w:val="26"/>
                <w:szCs w:val="26"/>
                <w:lang w:val="uk-UA"/>
              </w:rPr>
              <w:t xml:space="preserve"> звіти про діяльність </w:t>
            </w:r>
            <w:r w:rsidR="00E21C06">
              <w:rPr>
                <w:sz w:val="26"/>
                <w:szCs w:val="26"/>
                <w:lang w:val="uk-UA"/>
              </w:rPr>
              <w:t>відділів, накладні, управлінська документація</w:t>
            </w:r>
          </w:p>
        </w:tc>
      </w:tr>
      <w:tr w:rsidR="00635B53" w:rsidRPr="00731364" w:rsidTr="00731364">
        <w:trPr>
          <w:trHeight w:val="544"/>
        </w:trPr>
        <w:tc>
          <w:tcPr>
            <w:tcW w:w="10173" w:type="dxa"/>
            <w:gridSpan w:val="3"/>
          </w:tcPr>
          <w:p w:rsidR="00635B53" w:rsidRPr="00731364" w:rsidRDefault="00635B53" w:rsidP="00E05D6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31364">
              <w:rPr>
                <w:b/>
                <w:sz w:val="26"/>
                <w:szCs w:val="26"/>
                <w:lang w:val="uk-UA"/>
              </w:rPr>
              <w:t xml:space="preserve">Перевірка: </w:t>
            </w:r>
            <w:r w:rsidRPr="00731364">
              <w:rPr>
                <w:sz w:val="26"/>
                <w:szCs w:val="26"/>
                <w:lang w:val="uk-UA"/>
              </w:rPr>
              <w:t>здійснюється внутрішнім аудитором</w:t>
            </w:r>
            <w:r w:rsidR="00E05D63" w:rsidRPr="00731364">
              <w:rPr>
                <w:sz w:val="26"/>
                <w:szCs w:val="26"/>
                <w:lang w:val="uk-UA"/>
              </w:rPr>
              <w:t xml:space="preserve"> або службою внутрішнього аудиту </w:t>
            </w:r>
          </w:p>
        </w:tc>
      </w:tr>
      <w:tr w:rsidR="00635B53" w:rsidRPr="00731364" w:rsidTr="00731364">
        <w:trPr>
          <w:trHeight w:val="415"/>
        </w:trPr>
        <w:tc>
          <w:tcPr>
            <w:tcW w:w="10173" w:type="dxa"/>
            <w:gridSpan w:val="3"/>
          </w:tcPr>
          <w:p w:rsidR="00635B53" w:rsidRPr="00731364" w:rsidRDefault="00635B53" w:rsidP="00E21C06">
            <w:pPr>
              <w:jc w:val="both"/>
              <w:rPr>
                <w:sz w:val="26"/>
                <w:szCs w:val="26"/>
                <w:lang w:val="uk-UA"/>
              </w:rPr>
            </w:pPr>
            <w:r w:rsidRPr="00731364">
              <w:rPr>
                <w:sz w:val="26"/>
                <w:szCs w:val="26"/>
                <w:lang w:val="uk-UA"/>
              </w:rPr>
              <w:t xml:space="preserve">Особа, що відповідає за передачу (постачальник): </w:t>
            </w:r>
            <w:r w:rsidR="00E21C06">
              <w:rPr>
                <w:sz w:val="26"/>
                <w:szCs w:val="26"/>
                <w:lang w:val="uk-UA"/>
              </w:rPr>
              <w:t>вище керівництво</w:t>
            </w:r>
          </w:p>
        </w:tc>
      </w:tr>
      <w:tr w:rsidR="00635B53" w:rsidRPr="00731364" w:rsidTr="00731364">
        <w:trPr>
          <w:trHeight w:val="408"/>
        </w:trPr>
        <w:tc>
          <w:tcPr>
            <w:tcW w:w="10173" w:type="dxa"/>
            <w:gridSpan w:val="3"/>
          </w:tcPr>
          <w:p w:rsidR="00635B53" w:rsidRPr="00731364" w:rsidRDefault="00635B53" w:rsidP="005B0280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31364">
              <w:rPr>
                <w:b/>
                <w:sz w:val="26"/>
                <w:szCs w:val="26"/>
                <w:lang w:val="uk-UA"/>
              </w:rPr>
              <w:t>Вихідні потоки</w:t>
            </w:r>
            <w:r w:rsidR="00E05D63" w:rsidRPr="00731364">
              <w:rPr>
                <w:b/>
                <w:sz w:val="26"/>
                <w:szCs w:val="26"/>
                <w:lang w:val="uk-UA"/>
              </w:rPr>
              <w:t xml:space="preserve">: </w:t>
            </w:r>
            <w:r w:rsidRPr="00731364">
              <w:rPr>
                <w:b/>
                <w:sz w:val="26"/>
                <w:szCs w:val="26"/>
                <w:lang w:val="uk-UA"/>
              </w:rPr>
              <w:t xml:space="preserve"> </w:t>
            </w:r>
            <w:r w:rsidR="00E05D63" w:rsidRPr="00731364">
              <w:rPr>
                <w:sz w:val="26"/>
                <w:szCs w:val="26"/>
                <w:lang w:val="uk-UA"/>
              </w:rPr>
              <w:t xml:space="preserve">результати наглядів, </w:t>
            </w:r>
            <w:r w:rsidR="00E21C06">
              <w:rPr>
                <w:sz w:val="26"/>
                <w:szCs w:val="26"/>
                <w:lang w:val="uk-UA"/>
              </w:rPr>
              <w:t xml:space="preserve">опис </w:t>
            </w:r>
            <w:r w:rsidR="00E05D63" w:rsidRPr="00731364">
              <w:rPr>
                <w:sz w:val="26"/>
                <w:szCs w:val="26"/>
                <w:lang w:val="uk-UA"/>
              </w:rPr>
              <w:t>невідповідност</w:t>
            </w:r>
            <w:r w:rsidR="00E21C06">
              <w:rPr>
                <w:sz w:val="26"/>
                <w:szCs w:val="26"/>
                <w:lang w:val="uk-UA"/>
              </w:rPr>
              <w:t>ей</w:t>
            </w:r>
          </w:p>
        </w:tc>
      </w:tr>
      <w:tr w:rsidR="00635B53" w:rsidRPr="00731364" w:rsidTr="005B0280">
        <w:trPr>
          <w:trHeight w:val="726"/>
        </w:trPr>
        <w:tc>
          <w:tcPr>
            <w:tcW w:w="10173" w:type="dxa"/>
            <w:gridSpan w:val="3"/>
          </w:tcPr>
          <w:p w:rsidR="00635B53" w:rsidRPr="00731364" w:rsidRDefault="00635B53" w:rsidP="00635B53">
            <w:pPr>
              <w:jc w:val="both"/>
              <w:rPr>
                <w:sz w:val="26"/>
                <w:szCs w:val="26"/>
                <w:lang w:val="uk-UA"/>
              </w:rPr>
            </w:pPr>
            <w:r w:rsidRPr="00731364">
              <w:rPr>
                <w:sz w:val="26"/>
                <w:szCs w:val="26"/>
                <w:lang w:val="uk-UA"/>
              </w:rPr>
              <w:t xml:space="preserve">Форма передачі вихідних потоків і вимоги: </w:t>
            </w:r>
            <w:r w:rsidR="00E05D63" w:rsidRPr="00731364">
              <w:rPr>
                <w:sz w:val="26"/>
                <w:szCs w:val="26"/>
                <w:lang w:val="uk-UA"/>
              </w:rPr>
              <w:t>аудиторський висновок, поданий у письмовій формі з підписом відповідальної особи (аудитора)</w:t>
            </w:r>
          </w:p>
          <w:p w:rsidR="00635B53" w:rsidRPr="00731364" w:rsidRDefault="00635B53" w:rsidP="00635B5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35B53" w:rsidRPr="00731364" w:rsidTr="00731364">
        <w:trPr>
          <w:trHeight w:val="765"/>
        </w:trPr>
        <w:tc>
          <w:tcPr>
            <w:tcW w:w="10173" w:type="dxa"/>
            <w:gridSpan w:val="3"/>
          </w:tcPr>
          <w:p w:rsidR="00635B53" w:rsidRPr="00731364" w:rsidRDefault="00635B53" w:rsidP="00E05D63">
            <w:pPr>
              <w:jc w:val="both"/>
              <w:rPr>
                <w:sz w:val="26"/>
                <w:szCs w:val="26"/>
                <w:lang w:val="uk-UA"/>
              </w:rPr>
            </w:pPr>
            <w:r w:rsidRPr="00731364">
              <w:rPr>
                <w:sz w:val="26"/>
                <w:szCs w:val="26"/>
                <w:lang w:val="uk-UA"/>
              </w:rPr>
              <w:t xml:space="preserve">Перевірка </w:t>
            </w:r>
            <w:r w:rsidR="00E05D63" w:rsidRPr="00731364">
              <w:rPr>
                <w:sz w:val="26"/>
                <w:szCs w:val="26"/>
                <w:lang w:val="uk-UA"/>
              </w:rPr>
              <w:t>має здійснюватися внутрішнім аудитором або службою внутрішнього аудиту згідно стандартів підприємства, наданих повноважень та документованої інформації.</w:t>
            </w:r>
          </w:p>
        </w:tc>
      </w:tr>
      <w:tr w:rsidR="00635B53" w:rsidRPr="00731364" w:rsidTr="00731364">
        <w:trPr>
          <w:trHeight w:val="550"/>
        </w:trPr>
        <w:tc>
          <w:tcPr>
            <w:tcW w:w="10173" w:type="dxa"/>
            <w:gridSpan w:val="3"/>
          </w:tcPr>
          <w:p w:rsidR="00635B53" w:rsidRPr="00731364" w:rsidRDefault="00635B53" w:rsidP="005B0280">
            <w:pPr>
              <w:jc w:val="both"/>
              <w:rPr>
                <w:sz w:val="26"/>
                <w:szCs w:val="26"/>
                <w:lang w:val="uk-UA"/>
              </w:rPr>
            </w:pPr>
            <w:r w:rsidRPr="00731364">
              <w:rPr>
                <w:sz w:val="26"/>
                <w:szCs w:val="26"/>
                <w:lang w:val="uk-UA"/>
              </w:rPr>
              <w:t>Особа, що відповідає за приймання (споживач</w:t>
            </w:r>
            <w:r w:rsidR="00E05D63" w:rsidRPr="00731364">
              <w:rPr>
                <w:sz w:val="26"/>
                <w:szCs w:val="26"/>
                <w:lang w:val="uk-UA"/>
              </w:rPr>
              <w:t>) – вище керівництво</w:t>
            </w:r>
          </w:p>
        </w:tc>
      </w:tr>
      <w:tr w:rsidR="00635B53" w:rsidRPr="005B0280" w:rsidTr="00731364">
        <w:trPr>
          <w:trHeight w:val="1275"/>
        </w:trPr>
        <w:tc>
          <w:tcPr>
            <w:tcW w:w="10173" w:type="dxa"/>
            <w:gridSpan w:val="3"/>
          </w:tcPr>
          <w:p w:rsidR="00731364" w:rsidRDefault="00635B53" w:rsidP="00CC52B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31364">
              <w:rPr>
                <w:b/>
                <w:sz w:val="26"/>
                <w:szCs w:val="26"/>
                <w:lang w:val="uk-UA"/>
              </w:rPr>
              <w:t>Критерії оцінки процесу</w:t>
            </w:r>
            <w:r w:rsidR="00E21C06">
              <w:rPr>
                <w:b/>
                <w:sz w:val="26"/>
                <w:szCs w:val="26"/>
                <w:lang w:val="uk-UA"/>
              </w:rPr>
              <w:t>:</w:t>
            </w:r>
          </w:p>
          <w:p w:rsidR="00E21C06" w:rsidRPr="00E21C06" w:rsidRDefault="00E21C06" w:rsidP="00E21C06">
            <w:pPr>
              <w:pStyle w:val="a4"/>
              <w:numPr>
                <w:ilvl w:val="0"/>
                <w:numId w:val="1"/>
              </w:numPr>
              <w:ind w:left="284" w:firstLine="76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Доцільність проведення вимірювань – відношення величини втрат від неправильного протікання процесу до витрат на проведення вимірювань;</w:t>
            </w:r>
          </w:p>
          <w:p w:rsidR="00E21C06" w:rsidRPr="00E21C06" w:rsidRDefault="00E21C06" w:rsidP="00E21C06">
            <w:pPr>
              <w:pStyle w:val="a4"/>
              <w:numPr>
                <w:ilvl w:val="0"/>
                <w:numId w:val="1"/>
              </w:numPr>
              <w:ind w:left="284" w:firstLine="76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Ефективність – відношення кількості вчасно виконаних коригуючи дій до загальної кількості невідповідностей.</w:t>
            </w:r>
          </w:p>
          <w:p w:rsidR="00635B53" w:rsidRPr="00731364" w:rsidRDefault="00635B53" w:rsidP="00CC52B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635B53" w:rsidRPr="005B0280" w:rsidTr="005B0280">
        <w:trPr>
          <w:trHeight w:val="1039"/>
        </w:trPr>
        <w:tc>
          <w:tcPr>
            <w:tcW w:w="10173" w:type="dxa"/>
            <w:gridSpan w:val="3"/>
          </w:tcPr>
          <w:p w:rsidR="00731364" w:rsidRDefault="00635B53" w:rsidP="00CC52B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31364">
              <w:rPr>
                <w:b/>
                <w:sz w:val="26"/>
                <w:szCs w:val="26"/>
                <w:lang w:val="uk-UA"/>
              </w:rPr>
              <w:t>Необхідні записи і передача інформації</w:t>
            </w:r>
          </w:p>
          <w:p w:rsidR="00635B53" w:rsidRPr="005B0280" w:rsidRDefault="005B0280" w:rsidP="00CC52BC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Інформація передається у письмовому вигляді і містить записи про наявність чи відсутність невідповідностей, відхилень , помилок з рекомендаціями щодо їх усунення. </w:t>
            </w:r>
          </w:p>
        </w:tc>
      </w:tr>
      <w:tr w:rsidR="00635B53" w:rsidRPr="00731364" w:rsidTr="005B0280">
        <w:trPr>
          <w:trHeight w:val="983"/>
        </w:trPr>
        <w:tc>
          <w:tcPr>
            <w:tcW w:w="10173" w:type="dxa"/>
            <w:gridSpan w:val="3"/>
          </w:tcPr>
          <w:p w:rsidR="00635B53" w:rsidRPr="00731364" w:rsidRDefault="00635B53" w:rsidP="00CC52BC">
            <w:pPr>
              <w:jc w:val="both"/>
              <w:rPr>
                <w:sz w:val="26"/>
                <w:szCs w:val="26"/>
                <w:lang w:val="uk-UA"/>
              </w:rPr>
            </w:pPr>
            <w:r w:rsidRPr="00731364">
              <w:rPr>
                <w:sz w:val="26"/>
                <w:szCs w:val="26"/>
                <w:lang w:val="uk-UA"/>
              </w:rPr>
              <w:t xml:space="preserve">Дії у випадку, якщо ціль не досягнута: </w:t>
            </w:r>
            <w:r w:rsidR="00CC52BC" w:rsidRPr="00731364">
              <w:rPr>
                <w:sz w:val="26"/>
                <w:szCs w:val="26"/>
                <w:lang w:val="uk-UA"/>
              </w:rPr>
              <w:t>проведення повторного  аудиту з ретельнішим вивченням проблеми та розробка нових ефективніших засобів усунення невідповідностей.</w:t>
            </w:r>
          </w:p>
        </w:tc>
      </w:tr>
      <w:tr w:rsidR="00635B53" w:rsidRPr="005B0280" w:rsidTr="005B0280">
        <w:trPr>
          <w:trHeight w:val="1506"/>
        </w:trPr>
        <w:tc>
          <w:tcPr>
            <w:tcW w:w="10173" w:type="dxa"/>
            <w:gridSpan w:val="3"/>
          </w:tcPr>
          <w:p w:rsidR="00731364" w:rsidRDefault="00635B53" w:rsidP="00CC52B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31364">
              <w:rPr>
                <w:b/>
                <w:sz w:val="26"/>
                <w:szCs w:val="26"/>
                <w:lang w:val="uk-UA"/>
              </w:rPr>
              <w:t>Відповідальність керівника підрозділу</w:t>
            </w:r>
          </w:p>
          <w:p w:rsidR="00635B53" w:rsidRPr="00731364" w:rsidRDefault="00731364" w:rsidP="005B0280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="00635B53" w:rsidRPr="00731364">
              <w:rPr>
                <w:sz w:val="26"/>
                <w:szCs w:val="26"/>
                <w:lang w:val="uk-UA"/>
              </w:rPr>
              <w:t xml:space="preserve">ідповідальність несе </w:t>
            </w:r>
            <w:r w:rsidR="00CC52BC" w:rsidRPr="00731364">
              <w:rPr>
                <w:sz w:val="26"/>
                <w:szCs w:val="26"/>
                <w:lang w:val="uk-UA"/>
              </w:rPr>
              <w:t>особа, яка підписала аудиторський висновок, тобто внутрішній аудитор. Тому він повинен ретельно вивчити проблему, яка виникла на підприємстві</w:t>
            </w:r>
            <w:r w:rsidRPr="00731364">
              <w:rPr>
                <w:sz w:val="26"/>
                <w:szCs w:val="26"/>
                <w:lang w:val="uk-UA"/>
              </w:rPr>
              <w:t xml:space="preserve">, для того, щоб висвітлити, як можна чіткіше, основні невідповідності та відхилення </w:t>
            </w:r>
            <w:r w:rsidR="005B0280">
              <w:rPr>
                <w:sz w:val="26"/>
                <w:szCs w:val="26"/>
                <w:lang w:val="uk-UA"/>
              </w:rPr>
              <w:t>.</w:t>
            </w:r>
          </w:p>
        </w:tc>
      </w:tr>
      <w:tr w:rsidR="00635B53" w:rsidRPr="005B0280" w:rsidTr="005B0280">
        <w:trPr>
          <w:trHeight w:val="1414"/>
        </w:trPr>
        <w:tc>
          <w:tcPr>
            <w:tcW w:w="10173" w:type="dxa"/>
            <w:gridSpan w:val="3"/>
          </w:tcPr>
          <w:p w:rsidR="00635B53" w:rsidRPr="00731364" w:rsidRDefault="00635B53" w:rsidP="005B0280">
            <w:pPr>
              <w:jc w:val="both"/>
              <w:rPr>
                <w:sz w:val="26"/>
                <w:szCs w:val="26"/>
                <w:lang w:val="uk-UA"/>
              </w:rPr>
            </w:pPr>
            <w:r w:rsidRPr="00731364">
              <w:rPr>
                <w:sz w:val="26"/>
                <w:szCs w:val="26"/>
                <w:lang w:val="uk-UA"/>
              </w:rPr>
              <w:t>Повноваження керівника підрозділу</w:t>
            </w:r>
            <w:r w:rsidR="00731364" w:rsidRPr="00731364">
              <w:rPr>
                <w:sz w:val="26"/>
                <w:szCs w:val="26"/>
                <w:lang w:val="uk-UA"/>
              </w:rPr>
              <w:t>: здійснювати перевірку згідно встановлених вимог, передавати результати наглядів вищому керівництво для введення коригуючи дій, а також вказувати на існуючі невідповідності</w:t>
            </w:r>
            <w:r w:rsidRPr="00731364">
              <w:rPr>
                <w:sz w:val="26"/>
                <w:szCs w:val="26"/>
                <w:lang w:val="uk-UA"/>
              </w:rPr>
              <w:t xml:space="preserve"> </w:t>
            </w:r>
            <w:r w:rsidR="00731364" w:rsidRPr="00731364">
              <w:rPr>
                <w:sz w:val="26"/>
                <w:szCs w:val="26"/>
                <w:lang w:val="uk-UA"/>
              </w:rPr>
              <w:t>та відхилення в роботі з можливістю надання доцільних рекомендацій щодо покращення ситуації.</w:t>
            </w:r>
          </w:p>
        </w:tc>
      </w:tr>
      <w:bookmarkEnd w:id="0"/>
    </w:tbl>
    <w:p w:rsidR="00150EAF" w:rsidRPr="00731364" w:rsidRDefault="00150EAF" w:rsidP="00635B53">
      <w:pPr>
        <w:jc w:val="both"/>
        <w:rPr>
          <w:sz w:val="26"/>
          <w:szCs w:val="26"/>
          <w:lang w:val="uk-UA"/>
        </w:rPr>
      </w:pPr>
    </w:p>
    <w:sectPr w:rsidR="00150EAF" w:rsidRPr="00731364" w:rsidSect="00635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A9" w:rsidRDefault="005530A9" w:rsidP="005530A9">
      <w:pPr>
        <w:spacing w:after="0" w:line="240" w:lineRule="auto"/>
      </w:pPr>
      <w:r>
        <w:separator/>
      </w:r>
    </w:p>
  </w:endnote>
  <w:endnote w:type="continuationSeparator" w:id="0">
    <w:p w:rsidR="005530A9" w:rsidRDefault="005530A9" w:rsidP="0055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A9" w:rsidRDefault="005530A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A9" w:rsidRDefault="005530A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A9" w:rsidRDefault="005530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A9" w:rsidRDefault="005530A9" w:rsidP="005530A9">
      <w:pPr>
        <w:spacing w:after="0" w:line="240" w:lineRule="auto"/>
      </w:pPr>
      <w:r>
        <w:separator/>
      </w:r>
    </w:p>
  </w:footnote>
  <w:footnote w:type="continuationSeparator" w:id="0">
    <w:p w:rsidR="005530A9" w:rsidRDefault="005530A9" w:rsidP="0055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A9" w:rsidRDefault="005530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A9" w:rsidRPr="005530A9" w:rsidRDefault="005530A9" w:rsidP="005530A9">
    <w:pPr>
      <w:pStyle w:val="a5"/>
      <w:jc w:val="center"/>
      <w:rPr>
        <w:rFonts w:ascii="Tahoma" w:hAnsi="Tahoma"/>
        <w:b/>
        <w:color w:val="B3B3B3"/>
        <w:sz w:val="14"/>
      </w:rPr>
    </w:pPr>
    <w:hyperlink r:id="rId1" w:history="1">
      <w:r w:rsidRPr="005530A9">
        <w:rPr>
          <w:rStyle w:val="a9"/>
          <w:rFonts w:ascii="Tahoma" w:hAnsi="Tahoma"/>
          <w:b/>
          <w:color w:val="B3B3B3"/>
          <w:sz w:val="14"/>
        </w:rPr>
        <w:t>http://antibotan.com/</w:t>
      </w:r>
    </w:hyperlink>
    <w:r w:rsidRPr="005530A9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A9" w:rsidRDefault="005530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1634F"/>
    <w:multiLevelType w:val="hybridMultilevel"/>
    <w:tmpl w:val="2910A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5B53"/>
    <w:rsid w:val="00150EAF"/>
    <w:rsid w:val="003319DD"/>
    <w:rsid w:val="005530A9"/>
    <w:rsid w:val="005B0280"/>
    <w:rsid w:val="00635B53"/>
    <w:rsid w:val="00731364"/>
    <w:rsid w:val="00780B1C"/>
    <w:rsid w:val="007D3FFD"/>
    <w:rsid w:val="00CC52BC"/>
    <w:rsid w:val="00E05D63"/>
    <w:rsid w:val="00E2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C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530A9"/>
  </w:style>
  <w:style w:type="paragraph" w:styleId="a7">
    <w:name w:val="footer"/>
    <w:basedOn w:val="a"/>
    <w:link w:val="a8"/>
    <w:uiPriority w:val="99"/>
    <w:unhideWhenUsed/>
    <w:rsid w:val="0055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530A9"/>
  </w:style>
  <w:style w:type="character" w:styleId="a9">
    <w:name w:val="Hyperlink"/>
    <w:basedOn w:val="a0"/>
    <w:uiPriority w:val="99"/>
    <w:unhideWhenUsed/>
    <w:rsid w:val="00553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268</Words>
  <Characters>2037</Characters>
  <Application>Microsoft Office Word</Application>
  <DocSecurity>0</DocSecurity>
  <Lines>46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5</cp:revision>
  <cp:lastPrinted>2008-10-15T18:10:00Z</cp:lastPrinted>
  <dcterms:created xsi:type="dcterms:W3CDTF">2008-10-15T17:29:00Z</dcterms:created>
  <dcterms:modified xsi:type="dcterms:W3CDTF">2013-01-15T08:58:00Z</dcterms:modified>
</cp:coreProperties>
</file>