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B4" w:rsidRPr="0068470B" w:rsidRDefault="0068470B" w:rsidP="00750B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470B">
        <w:rPr>
          <w:rFonts w:ascii="Times New Roman" w:hAnsi="Times New Roman" w:cs="Times New Roman"/>
          <w:sz w:val="28"/>
          <w:szCs w:val="28"/>
        </w:rPr>
        <w:t>ЗМІСТ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70B">
        <w:rPr>
          <w:rFonts w:ascii="Times New Roman" w:hAnsi="Times New Roman" w:cs="Times New Roman"/>
          <w:sz w:val="28"/>
          <w:szCs w:val="28"/>
        </w:rPr>
        <w:t>Вступ</w:t>
      </w:r>
      <w:r>
        <w:rPr>
          <w:rFonts w:ascii="Times New Roman" w:hAnsi="Times New Roman" w:cs="Times New Roman"/>
          <w:sz w:val="28"/>
          <w:szCs w:val="28"/>
        </w:rPr>
        <w:t xml:space="preserve"> . . . . . . . . . . . . . . . . . . . . . . . . . . . . . . . . . . . . . . . . . . . . . . . . . . . . . . . . .</w:t>
      </w:r>
      <w:r w:rsidR="00BF04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70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ОЗДІЛ</w:t>
      </w:r>
      <w:r w:rsidRPr="0068470B">
        <w:rPr>
          <w:rFonts w:ascii="Times New Roman" w:hAnsi="Times New Roman" w:cs="Times New Roman"/>
          <w:sz w:val="28"/>
          <w:szCs w:val="28"/>
        </w:rPr>
        <w:t xml:space="preserve"> 1. Теоретичні основи управління платоспроможністю та ліквідністю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. . . . . . . . . . . . . . . . . . . . . . . . . . . . . . . . . . . . . . . . . . . . .</w:t>
      </w:r>
      <w:r w:rsidR="00BF04D4">
        <w:rPr>
          <w:rFonts w:ascii="Times New Roman" w:hAnsi="Times New Roman" w:cs="Times New Roman"/>
          <w:sz w:val="28"/>
          <w:szCs w:val="28"/>
        </w:rPr>
        <w:t>6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70B">
        <w:rPr>
          <w:rFonts w:ascii="Times New Roman" w:hAnsi="Times New Roman" w:cs="Times New Roman"/>
          <w:sz w:val="28"/>
          <w:szCs w:val="28"/>
        </w:rPr>
        <w:t>1.1.</w:t>
      </w:r>
      <w:r w:rsidRPr="0068470B">
        <w:rPr>
          <w:rFonts w:ascii="Times New Roman" w:hAnsi="Times New Roman" w:cs="Times New Roman"/>
          <w:sz w:val="28"/>
          <w:szCs w:val="28"/>
        </w:rPr>
        <w:tab/>
        <w:t>Економічна сутність платоспроможності та ліквідності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. . . . . . . . . . . . . . . . . . . . . . . . . . . . . . . . . . . . . . . . . . . . . . . . . . . . . . . </w:t>
      </w:r>
      <w:r w:rsidR="00BF04D4">
        <w:rPr>
          <w:rFonts w:ascii="Times New Roman" w:hAnsi="Times New Roman" w:cs="Times New Roman"/>
          <w:sz w:val="28"/>
          <w:szCs w:val="28"/>
        </w:rPr>
        <w:t>6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70B">
        <w:rPr>
          <w:rFonts w:ascii="Times New Roman" w:hAnsi="Times New Roman" w:cs="Times New Roman"/>
          <w:sz w:val="28"/>
          <w:szCs w:val="28"/>
        </w:rPr>
        <w:t>1.2.</w:t>
      </w:r>
      <w:r w:rsidRPr="0068470B">
        <w:rPr>
          <w:rFonts w:ascii="Times New Roman" w:hAnsi="Times New Roman" w:cs="Times New Roman"/>
          <w:sz w:val="28"/>
          <w:szCs w:val="28"/>
        </w:rPr>
        <w:tab/>
        <w:t>Нормативно-правова база проведення аналізу ліквідності та платоспроможності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. . . . . . . . . . . . . . . . . . . . . . . . . . . . . . . . . . . . . </w:t>
      </w:r>
      <w:r w:rsidR="00BF04D4">
        <w:rPr>
          <w:rFonts w:ascii="Times New Roman" w:hAnsi="Times New Roman" w:cs="Times New Roman"/>
          <w:sz w:val="28"/>
          <w:szCs w:val="28"/>
        </w:rPr>
        <w:t>11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70B">
        <w:rPr>
          <w:rFonts w:ascii="Times New Roman" w:hAnsi="Times New Roman" w:cs="Times New Roman"/>
          <w:sz w:val="28"/>
          <w:szCs w:val="28"/>
        </w:rPr>
        <w:t>1.3. Аналіз та оцінка ліквідності та платоспроможності</w:t>
      </w:r>
      <w:r>
        <w:rPr>
          <w:rFonts w:ascii="Times New Roman" w:hAnsi="Times New Roman" w:cs="Times New Roman"/>
          <w:sz w:val="28"/>
          <w:szCs w:val="28"/>
        </w:rPr>
        <w:t xml:space="preserve"> . . . . . . . .</w:t>
      </w:r>
      <w:r w:rsidR="00BF04D4">
        <w:rPr>
          <w:rFonts w:ascii="Times New Roman" w:hAnsi="Times New Roman" w:cs="Times New Roman"/>
          <w:sz w:val="28"/>
          <w:szCs w:val="28"/>
        </w:rPr>
        <w:t xml:space="preserve"> . . . . . .14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70B">
        <w:rPr>
          <w:rFonts w:ascii="Times New Roman" w:hAnsi="Times New Roman" w:cs="Times New Roman"/>
          <w:sz w:val="28"/>
          <w:szCs w:val="28"/>
        </w:rPr>
        <w:t>1.4. Теоретичні основи управління платоспроможністю та ліквідністю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. . . . . . . . . . . . . . . . . . . . . . . . . . . . . . . . . . . . . . . . . . . . . . . . . . . . . . </w:t>
      </w:r>
      <w:r w:rsidR="00BF04D4">
        <w:rPr>
          <w:rFonts w:ascii="Times New Roman" w:hAnsi="Times New Roman" w:cs="Times New Roman"/>
          <w:sz w:val="28"/>
          <w:szCs w:val="28"/>
        </w:rPr>
        <w:t>22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70B">
        <w:rPr>
          <w:rFonts w:ascii="Times New Roman" w:hAnsi="Times New Roman" w:cs="Times New Roman"/>
          <w:sz w:val="28"/>
          <w:szCs w:val="28"/>
        </w:rPr>
        <w:t xml:space="preserve">РОЗДІЛ 2. </w:t>
      </w:r>
      <w:r>
        <w:rPr>
          <w:rFonts w:ascii="Times New Roman" w:hAnsi="Times New Roman" w:cs="Times New Roman"/>
          <w:sz w:val="28"/>
          <w:szCs w:val="28"/>
        </w:rPr>
        <w:t xml:space="preserve"> Дослідження платоспроможності та ліквідності ПП «Техенерго Плюс» . . . . . . . . . . . . . . . . . . . . . . . . . . . . . . . . . . . . . . . . . . . . . . </w:t>
      </w:r>
      <w:r w:rsidR="00BF04D4">
        <w:rPr>
          <w:rFonts w:ascii="Times New Roman" w:hAnsi="Times New Roman" w:cs="Times New Roman"/>
          <w:sz w:val="28"/>
          <w:szCs w:val="28"/>
        </w:rPr>
        <w:t>25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70B">
        <w:rPr>
          <w:rFonts w:ascii="Times New Roman" w:hAnsi="Times New Roman" w:cs="Times New Roman"/>
          <w:sz w:val="28"/>
          <w:szCs w:val="28"/>
        </w:rPr>
        <w:t>2.1. Коротка характеристика ПП «Техенерго Плюс»</w:t>
      </w:r>
      <w:r>
        <w:rPr>
          <w:rFonts w:ascii="Times New Roman" w:hAnsi="Times New Roman" w:cs="Times New Roman"/>
          <w:sz w:val="28"/>
          <w:szCs w:val="28"/>
        </w:rPr>
        <w:t xml:space="preserve"> . . . . . . . . . . . . . . . . </w:t>
      </w:r>
      <w:r w:rsidR="00BF04D4">
        <w:rPr>
          <w:rFonts w:ascii="Times New Roman" w:hAnsi="Times New Roman" w:cs="Times New Roman"/>
          <w:sz w:val="28"/>
          <w:szCs w:val="28"/>
        </w:rPr>
        <w:t>25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70B">
        <w:rPr>
          <w:rFonts w:ascii="Times New Roman" w:hAnsi="Times New Roman" w:cs="Times New Roman"/>
          <w:sz w:val="28"/>
          <w:szCs w:val="28"/>
        </w:rPr>
        <w:t>2.2. Структурно-динамічний аналіз майна та фінансові результати ПП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8470B">
        <w:rPr>
          <w:rFonts w:ascii="Times New Roman" w:hAnsi="Times New Roman" w:cs="Times New Roman"/>
          <w:sz w:val="28"/>
          <w:szCs w:val="28"/>
        </w:rPr>
        <w:t>«Техенерго Плюс»</w:t>
      </w:r>
      <w:r>
        <w:rPr>
          <w:rFonts w:ascii="Times New Roman" w:hAnsi="Times New Roman" w:cs="Times New Roman"/>
          <w:sz w:val="28"/>
          <w:szCs w:val="28"/>
        </w:rPr>
        <w:t xml:space="preserve"> . . . . . . . . . . . . . . . . . . . . . . . . . . . . . . . . . . . . . . . . . . . . . . </w:t>
      </w:r>
      <w:r w:rsidR="00BF04D4">
        <w:rPr>
          <w:rFonts w:ascii="Times New Roman" w:hAnsi="Times New Roman" w:cs="Times New Roman"/>
          <w:sz w:val="28"/>
          <w:szCs w:val="28"/>
        </w:rPr>
        <w:t>25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70B">
        <w:rPr>
          <w:rFonts w:ascii="Times New Roman" w:hAnsi="Times New Roman" w:cs="Times New Roman"/>
          <w:sz w:val="28"/>
          <w:szCs w:val="28"/>
        </w:rPr>
        <w:t>2.3. Аналіз та оцінка фінансового стану ПП « Техенерго Плюс»</w:t>
      </w:r>
      <w:r>
        <w:rPr>
          <w:rFonts w:ascii="Times New Roman" w:hAnsi="Times New Roman" w:cs="Times New Roman"/>
          <w:sz w:val="28"/>
          <w:szCs w:val="28"/>
        </w:rPr>
        <w:t xml:space="preserve"> . . . . . . </w:t>
      </w:r>
      <w:r w:rsidR="00BF04D4">
        <w:rPr>
          <w:rFonts w:ascii="Times New Roman" w:hAnsi="Times New Roman" w:cs="Times New Roman"/>
          <w:sz w:val="28"/>
          <w:szCs w:val="28"/>
        </w:rPr>
        <w:t>42</w:t>
      </w:r>
    </w:p>
    <w:p w:rsidR="0068470B" w:rsidRPr="0068470B" w:rsidRDefault="00BF04D4" w:rsidP="00BF0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68470B" w:rsidRPr="0068470B">
        <w:rPr>
          <w:rFonts w:ascii="Times New Roman" w:hAnsi="Times New Roman" w:cs="Times New Roman"/>
          <w:sz w:val="28"/>
          <w:szCs w:val="28"/>
        </w:rPr>
        <w:t>Діагностика ліквідності та платоспроможності ПП</w:t>
      </w:r>
      <w:r w:rsidR="0068470B">
        <w:rPr>
          <w:rFonts w:ascii="Times New Roman" w:hAnsi="Times New Roman" w:cs="Times New Roman"/>
          <w:sz w:val="28"/>
          <w:szCs w:val="28"/>
        </w:rPr>
        <w:t> </w:t>
      </w:r>
      <w:r w:rsidR="0068470B" w:rsidRPr="0068470B">
        <w:rPr>
          <w:rFonts w:ascii="Times New Roman" w:hAnsi="Times New Roman" w:cs="Times New Roman"/>
          <w:sz w:val="28"/>
          <w:szCs w:val="28"/>
        </w:rPr>
        <w:t>«Техенерго</w:t>
      </w:r>
      <w:r w:rsidR="0068470B">
        <w:rPr>
          <w:rFonts w:ascii="Times New Roman" w:hAnsi="Times New Roman" w:cs="Times New Roman"/>
          <w:sz w:val="28"/>
          <w:szCs w:val="28"/>
        </w:rPr>
        <w:t> </w:t>
      </w:r>
      <w:r w:rsidR="0068470B" w:rsidRPr="0068470B">
        <w:rPr>
          <w:rFonts w:ascii="Times New Roman" w:hAnsi="Times New Roman" w:cs="Times New Roman"/>
          <w:sz w:val="28"/>
          <w:szCs w:val="28"/>
        </w:rPr>
        <w:t>Плюс». Класифікація активів та пасивів</w:t>
      </w:r>
      <w:r w:rsidR="0068470B">
        <w:rPr>
          <w:rFonts w:ascii="Times New Roman" w:hAnsi="Times New Roman" w:cs="Times New Roman"/>
          <w:sz w:val="28"/>
          <w:szCs w:val="28"/>
        </w:rPr>
        <w:t xml:space="preserve"> . . .</w:t>
      </w:r>
      <w:r w:rsidR="00750B3A">
        <w:rPr>
          <w:rFonts w:ascii="Times New Roman" w:hAnsi="Times New Roman" w:cs="Times New Roman"/>
          <w:sz w:val="28"/>
          <w:szCs w:val="28"/>
        </w:rPr>
        <w:t xml:space="preserve"> . . . .</w:t>
      </w:r>
      <w:r w:rsidR="0068470B">
        <w:rPr>
          <w:rFonts w:ascii="Times New Roman" w:hAnsi="Times New Roman" w:cs="Times New Roman"/>
          <w:sz w:val="28"/>
          <w:szCs w:val="28"/>
        </w:rPr>
        <w:t xml:space="preserve"> . . . . . . . . . . . . . .</w:t>
      </w:r>
      <w:r>
        <w:rPr>
          <w:rFonts w:ascii="Times New Roman" w:hAnsi="Times New Roman" w:cs="Times New Roman"/>
          <w:sz w:val="28"/>
          <w:szCs w:val="28"/>
        </w:rPr>
        <w:t xml:space="preserve"> . . . . . . . . . . . . . . . . . 48</w:t>
      </w:r>
    </w:p>
    <w:p w:rsidR="0068470B" w:rsidRPr="0068470B" w:rsidRDefault="0068470B" w:rsidP="00750B3A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70B">
        <w:rPr>
          <w:rFonts w:ascii="Times New Roman" w:hAnsi="Times New Roman" w:cs="Times New Roman"/>
          <w:color w:val="000000"/>
          <w:sz w:val="28"/>
          <w:szCs w:val="28"/>
        </w:rPr>
        <w:t xml:space="preserve">РОЗДІЛ 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Основні заходи поліпшення управління ліквідністю та платоспроможністю. . . . . . . . . . . . . . . . . . . . . . . . . . . . . . . . . . . . . . . . . . . . . . . . </w:t>
      </w:r>
      <w:r w:rsidR="00BF04D4">
        <w:rPr>
          <w:rFonts w:ascii="Times New Roman" w:hAnsi="Times New Roman" w:cs="Times New Roman"/>
          <w:color w:val="000000"/>
          <w:sz w:val="28"/>
          <w:szCs w:val="28"/>
        </w:rPr>
        <w:t>.52</w:t>
      </w:r>
    </w:p>
    <w:p w:rsidR="0068470B" w:rsidRDefault="0068470B" w:rsidP="00750B3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70B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Підвищення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платоспроможності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підприємств </w:t>
      </w:r>
    </w:p>
    <w:p w:rsidR="0068470B" w:rsidRPr="0068470B" w:rsidRDefault="0068470B" w:rsidP="00750B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. . . . . . . . . . . . . . . . . . . . . . . . . . . . . . . . . . . . . . . . . . </w:t>
      </w:r>
      <w:r w:rsidR="00BF04D4">
        <w:rPr>
          <w:rFonts w:ascii="Times New Roman" w:eastAsia="Times New Roman" w:hAnsi="Times New Roman" w:cs="Times New Roman"/>
          <w:color w:val="000000"/>
          <w:sz w:val="28"/>
          <w:szCs w:val="28"/>
        </w:rPr>
        <w:t>. . . . . . . . . . . . . . . .52</w:t>
      </w:r>
    </w:p>
    <w:p w:rsidR="0068470B" w:rsidRPr="0068470B" w:rsidRDefault="00BF04D4" w:rsidP="00BF04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68470B"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 ліквідністю та платоспроможністю ПП</w:t>
      </w:r>
      <w:r w:rsidR="00750B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8470B"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«Техенерго</w:t>
      </w:r>
      <w:r w:rsidR="00750B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8470B"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>Плюс» за допомогою розрахунку коефіцієнта операційної ліквідності. Шляхи підвищення ліквідності та платоспроможності ПП</w:t>
      </w:r>
      <w:r w:rsidR="00750B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8470B"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«Техенерго Плюс»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. . . . .56</w:t>
      </w:r>
    </w:p>
    <w:p w:rsidR="0068470B" w:rsidRPr="0068470B" w:rsidRDefault="0068470B" w:rsidP="00750B3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Висновки та пропозиції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. . . . . . . . . . . . . . . . . . . . . . . . . . . . . . . . . . . . . . . </w:t>
      </w:r>
      <w:r w:rsidR="00BF04D4">
        <w:rPr>
          <w:rFonts w:ascii="Times New Roman" w:eastAsia="Times New Roman" w:hAnsi="Times New Roman" w:cs="Times New Roman"/>
          <w:color w:val="000000"/>
          <w:sz w:val="28"/>
          <w:szCs w:val="28"/>
        </w:rPr>
        <w:t>62</w:t>
      </w:r>
    </w:p>
    <w:p w:rsidR="0068470B" w:rsidRPr="0068470B" w:rsidRDefault="0068470B" w:rsidP="00750B3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використаної літератури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. . . . . . . . . . . . . . . . </w:t>
      </w:r>
      <w:r w:rsidR="00BF04D4">
        <w:rPr>
          <w:rFonts w:ascii="Times New Roman" w:eastAsia="Times New Roman" w:hAnsi="Times New Roman" w:cs="Times New Roman"/>
          <w:color w:val="000000"/>
          <w:sz w:val="28"/>
          <w:szCs w:val="28"/>
        </w:rPr>
        <w:t>. . . . . . . . . . . . . . . .65</w:t>
      </w:r>
    </w:p>
    <w:p w:rsidR="0068470B" w:rsidRPr="0068470B" w:rsidRDefault="0068470B" w:rsidP="00750B3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70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Додатки</w:t>
      </w:r>
      <w:bookmarkEnd w:id="0"/>
    </w:p>
    <w:sectPr w:rsidR="0068470B" w:rsidRPr="0068470B" w:rsidSect="009E6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C0" w:rsidRDefault="00BE39C0" w:rsidP="00BE39C0">
      <w:pPr>
        <w:spacing w:after="0" w:line="240" w:lineRule="auto"/>
      </w:pPr>
      <w:r>
        <w:separator/>
      </w:r>
    </w:p>
  </w:endnote>
  <w:endnote w:type="continuationSeparator" w:id="0">
    <w:p w:rsidR="00BE39C0" w:rsidRDefault="00BE39C0" w:rsidP="00BE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C0" w:rsidRDefault="00BE39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C0" w:rsidRDefault="00BE39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C0" w:rsidRDefault="00BE39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C0" w:rsidRDefault="00BE39C0" w:rsidP="00BE39C0">
      <w:pPr>
        <w:spacing w:after="0" w:line="240" w:lineRule="auto"/>
      </w:pPr>
      <w:r>
        <w:separator/>
      </w:r>
    </w:p>
  </w:footnote>
  <w:footnote w:type="continuationSeparator" w:id="0">
    <w:p w:rsidR="00BE39C0" w:rsidRDefault="00BE39C0" w:rsidP="00BE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C0" w:rsidRDefault="00BE39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C0" w:rsidRPr="00BE39C0" w:rsidRDefault="00BE39C0" w:rsidP="00BE39C0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BE39C0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BE39C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C0" w:rsidRDefault="00BE39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70B"/>
    <w:rsid w:val="0068470B"/>
    <w:rsid w:val="00750B3A"/>
    <w:rsid w:val="0098049A"/>
    <w:rsid w:val="009E69B4"/>
    <w:rsid w:val="00BE39C0"/>
    <w:rsid w:val="00B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E39C0"/>
  </w:style>
  <w:style w:type="paragraph" w:styleId="a5">
    <w:name w:val="footer"/>
    <w:basedOn w:val="a"/>
    <w:link w:val="a6"/>
    <w:uiPriority w:val="99"/>
    <w:unhideWhenUsed/>
    <w:rsid w:val="00B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E39C0"/>
  </w:style>
  <w:style w:type="character" w:styleId="a7">
    <w:name w:val="Hyperlink"/>
    <w:basedOn w:val="a0"/>
    <w:uiPriority w:val="99"/>
    <w:unhideWhenUsed/>
    <w:rsid w:val="00BE39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741</Words>
  <Characters>1675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Ivan</cp:lastModifiedBy>
  <cp:revision>4</cp:revision>
  <dcterms:created xsi:type="dcterms:W3CDTF">2012-04-05T12:53:00Z</dcterms:created>
  <dcterms:modified xsi:type="dcterms:W3CDTF">2013-03-16T07:43:00Z</dcterms:modified>
</cp:coreProperties>
</file>