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5500">
        <w:rPr>
          <w:rFonts w:ascii="Times New Roman" w:hAnsi="Times New Roman" w:cs="Times New Roman"/>
          <w:sz w:val="28"/>
          <w:szCs w:val="28"/>
        </w:rPr>
        <w:t>Джерелами інвестиційних вкладень в умовах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існування державного регулювання цін на електроенергію можуть бути: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кредитні ресурси;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прямі державні інвестиції;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прямі приватні інвестиції;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позикові кошти, отримані через випуск цільових облігацій та акцій під інвестиційні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зобов’язання стратегічних інвесторів;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власні кошти електроенергетичних компаній;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кошти інвестиційних фондів;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– залучення коштів за програмою торгівлі квотами на викиди парникових газів,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реалізується відповідно до Кіотського протоколу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Ефективним механізмом залучення інвестицій у підприємства електроенергетичної галузі є їх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приватизація. Але іноземні інвестори не поспішають вкладати кошти в електроенергетику у 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 відсутністю в Україні механізму правового захисту іноземних інвестицій, який би відповідав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міжнародним правовим нормам.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На нашу думку, ефективним стимулом оновлення ОФ у сфері електроенергетики можевиступати й інвестиційний податковий кредит. У вже не чинному Законі України «Про оподат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5500">
        <w:rPr>
          <w:rFonts w:ascii="Times New Roman" w:hAnsi="Times New Roman" w:cs="Times New Roman"/>
          <w:sz w:val="28"/>
          <w:szCs w:val="28"/>
        </w:rPr>
        <w:t>кування прибутку підприємств», інвестиційний податковий кредит (ІПК) визначався як відстрочка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плати податку на прибуток, що надається суб'єкту підприємницької діяльності на визначений строк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 метою збільшення його фінансових ресурсів для здійснення інноваційних програм, з наступною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компенсацією відстрочених сум у вигляді додаткових надходжень податку через загальне зростання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прибутку, що буде отримано внаслідок реалізації інноваційних програм. Але при цьому в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законодавстві не було визначено механізму надання ІПК. Зокрема, не було визначено вимоги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отримання ІПК, його розмір, термін надання ІПК, порядок його повернення, а також відповідальність за незаконне використання ІПК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У законодавстві, зокрема, в Податковому кодексі України, який вступив в дію з 01.01.2011р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поняття ІПК відсутнє [5]. Отже, ІПК сьогодні не надається.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Механізм стимулювання інвестиційної діяльності в електроенергетиці шляхом надання ІПК є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вигідним як для держави, так і для підприємств-платників податку на прибуток. Так, держава</w:t>
      </w:r>
      <w:r w:rsidR="002C41FA">
        <w:rPr>
          <w:rFonts w:ascii="Times New Roman" w:hAnsi="Times New Roman" w:cs="Times New Roman"/>
          <w:sz w:val="28"/>
          <w:szCs w:val="28"/>
        </w:rPr>
        <w:t xml:space="preserve">, </w:t>
      </w:r>
      <w:r w:rsidRPr="00DF5500">
        <w:rPr>
          <w:rFonts w:ascii="Times New Roman" w:hAnsi="Times New Roman" w:cs="Times New Roman"/>
          <w:sz w:val="28"/>
          <w:szCs w:val="28"/>
        </w:rPr>
        <w:t>відтерміновуючи протягом певного періоду сплату податку на прибуток, після закінчення терміну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реалізації інвестиційного проекту отримує суму відстроченого податку і збільшені суми податку на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прибуток, внаслідок покращення техніко-економічних показників роботи підприємств-платників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податку. Отже, збільшуються надходження в Державний бюджет. Отримувачі ІПК мають можливість залучити більше коштів для оновлення своїх ОФ, спорудження нових електричних станцій і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 покращувати </w:t>
      </w:r>
      <w:bookmarkEnd w:id="0"/>
      <w:r w:rsidRPr="00DF5500">
        <w:rPr>
          <w:rFonts w:ascii="Times New Roman" w:hAnsi="Times New Roman" w:cs="Times New Roman"/>
          <w:sz w:val="28"/>
          <w:szCs w:val="28"/>
        </w:rPr>
        <w:t>фінансові результати діяльності. Даний механізм також сприятиме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покращенню існуючої в Західній ЕС неефективної структури генеруючих потужностей – створить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умови для спорудження маневрових електростанцій, внаслідок чого зникне потреба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використовувати для маневрування виробництвом електроенергії потужні блоки ТЕС, що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сприятиме покращенню ефективності та надійності їх роботи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Пропонуємо, щоб ІПК мав строго цільове призначення, а саме – для здійснення оновлення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 xml:space="preserve">ОФ з метою покращення їх техніко-економічних показників роботи, спорудження нових </w:t>
      </w:r>
      <w:r w:rsidR="002C41FA">
        <w:rPr>
          <w:rFonts w:ascii="Times New Roman" w:hAnsi="Times New Roman" w:cs="Times New Roman"/>
          <w:sz w:val="28"/>
          <w:szCs w:val="28"/>
        </w:rPr>
        <w:t xml:space="preserve">ефект </w:t>
      </w:r>
      <w:r w:rsidRPr="00DF5500">
        <w:rPr>
          <w:rFonts w:ascii="Times New Roman" w:hAnsi="Times New Roman" w:cs="Times New Roman"/>
          <w:sz w:val="28"/>
          <w:szCs w:val="28"/>
        </w:rPr>
        <w:t>ричних станцій чи впровадження нових технологій. Якщо кошти ІПК використовуватимуться не за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цільовим призначенням, платник податку втрачатиме право на користування ІПК на весь термін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реалізації інвестиційного проекту і зобов’язаний повернути до бюджету суму податку на прибуток</w:t>
      </w:r>
      <w:r w:rsidR="002C41FA">
        <w:rPr>
          <w:rFonts w:ascii="Times New Roman" w:hAnsi="Times New Roman" w:cs="Times New Roman"/>
          <w:sz w:val="28"/>
          <w:szCs w:val="28"/>
        </w:rPr>
        <w:t xml:space="preserve">, </w:t>
      </w:r>
      <w:r w:rsidRPr="00DF5500">
        <w:rPr>
          <w:rFonts w:ascii="Times New Roman" w:hAnsi="Times New Roman" w:cs="Times New Roman"/>
          <w:sz w:val="28"/>
          <w:szCs w:val="28"/>
        </w:rPr>
        <w:t>сплата якого була відстрочена, у двократному розмірі. Сума наданого ІПК не повинна переви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щувати суму інвестицій згідно з інвестиційним проектом.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 xml:space="preserve">ІПК надаватиметься на весь термін реалізації інвестиційного проекту, але не більше ніж на </w:t>
      </w:r>
      <w:r w:rsidR="002C41FA">
        <w:rPr>
          <w:rFonts w:ascii="Times New Roman" w:hAnsi="Times New Roman" w:cs="Times New Roman"/>
          <w:sz w:val="28"/>
          <w:szCs w:val="28"/>
        </w:rPr>
        <w:t xml:space="preserve">5 </w:t>
      </w:r>
      <w:r w:rsidRPr="00DF5500">
        <w:rPr>
          <w:rFonts w:ascii="Times New Roman" w:hAnsi="Times New Roman" w:cs="Times New Roman"/>
          <w:sz w:val="28"/>
          <w:szCs w:val="28"/>
        </w:rPr>
        <w:t>років (цей термін достатній для спорудження вітрової електростанції, малої ГЕС чи електростанції</w:t>
      </w:r>
      <w:r w:rsidR="002C41FA">
        <w:rPr>
          <w:rFonts w:ascii="Times New Roman" w:hAnsi="Times New Roman" w:cs="Times New Roman"/>
          <w:sz w:val="28"/>
          <w:szCs w:val="28"/>
        </w:rPr>
        <w:t xml:space="preserve">, </w:t>
      </w:r>
      <w:r w:rsidRPr="00DF5500">
        <w:rPr>
          <w:rFonts w:ascii="Times New Roman" w:hAnsi="Times New Roman" w:cs="Times New Roman"/>
          <w:sz w:val="28"/>
          <w:szCs w:val="28"/>
        </w:rPr>
        <w:t>що працює на біомасі).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Надання ІПК повинно здійснюватись на певних умовах. Зокрема, це: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1) прибуткова робота підприємства – платника податку протягом трьох останніх років;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2) наявність у платника податку на прибуток розробленого інвестиційного проекту, який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обов’язково повинен містити розрахунок очікуваних сум прибутку, який буде отримуватися після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закінчення терміну його реалізації і, відповідно, сум податку на прибуток, який буде сплачуватися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до бюджету;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3) наявність в інвестиційному проекті розрахунку терміну його окупності; умовою надання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ІПК має бути термін окупності, що не перевищує 5 років.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Пропонуємо, що для отримання ІПК підприємство – платник податку має укласти з Дер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жавною податковою адміністрацією у регіоні його діяльності Договір про надання ІПК, у якому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повинні бути чітко визначені цілі надання ІПК, умови, на яких він надається, порядок надання, 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також термін, протягом якого платник податку матиме право користуватися ІПК та порядок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повернення до бюджету відстрочених сум податку на прибуток.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Обсяги необхідних інвестицій у підприємства сфери електроенергетики Західного регіону є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доволі великі. Тому власних фінансових ресурсів інвестора може бути недостатньо. У зв’язку з цим</w:t>
      </w:r>
      <w:r w:rsidR="002C41FA">
        <w:rPr>
          <w:rFonts w:ascii="Times New Roman" w:hAnsi="Times New Roman" w:cs="Times New Roman"/>
          <w:sz w:val="28"/>
          <w:szCs w:val="28"/>
        </w:rPr>
        <w:t xml:space="preserve">, </w:t>
      </w:r>
      <w:r w:rsidRPr="00DF5500">
        <w:rPr>
          <w:rFonts w:ascii="Times New Roman" w:hAnsi="Times New Roman" w:cs="Times New Roman"/>
          <w:sz w:val="28"/>
          <w:szCs w:val="28"/>
        </w:rPr>
        <w:t>в умовах існування державного регулювання цін на електричну енергію, нами пропонується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використовувати і такі джерела залучення інвестицій у сфери виробництва та постачання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електроенергії, як кредити банків та кошти галузевого інвестиційного фонду. Нами рекомендується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залучати кредити закордонних банків (де відсотки є нижчі 10%), наприклад Європейського банку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 xml:space="preserve">реконструкції та розвитку (ЄБРР), адже в </w:t>
      </w:r>
      <w:r w:rsidRPr="00DF5500">
        <w:rPr>
          <w:rFonts w:ascii="Times New Roman" w:hAnsi="Times New Roman" w:cs="Times New Roman"/>
          <w:sz w:val="28"/>
          <w:szCs w:val="28"/>
        </w:rPr>
        <w:lastRenderedPageBreak/>
        <w:t>українських банках відсотки досить високі. Але ЄБРР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надає кредити лише підприємствам недержавної форми власності і за умови, якщо 30% необхідних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коштів буде залучено з власного джерела. А це мільйони гривень, тому електроенергетичні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компанії, в яких відсутні вільні оборотні кошти, отримати кредит не зможуть.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Залучення державних і змішаних капітальних вкладень регулюється Постановою Кабінету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Міністрів України №1764 від 27.12.2001р. «Про затвердження Порядку державного фінансування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капітального будівництва» [6], відповідно до якої кошти Державного бюджету можуть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безповоротно виділятися лише підприємствам державної та комунальної форм власності. Для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підприємств інших форм власності встановлено досить жорсткі умови.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Тому, з метою залучення інвестицій недержавними електроенергетичними підприємствами в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умовах дії державного регулювання цін на електричну енергію, доцільним буде створення Інвестиційного позабюджетного фонду розвитку електроенергетики Західного регіону (ІПФРЕЗР).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Джерелом формування коштів цього фонду буде збір у вигляді цільової надбавки до тарифу на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електричну та теплову енергію (далі Збір), який належить до загальнодержавних податків і зборів до 2010 р. був одним з джерел формування спеціального фонду Державного бюджету України. З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січня 2011р. Збір зараховується до загального фонду Державного бюджету України. Платниками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Збору є оптовий постачальник електричної енергії (ДП «Енергоринок») та виробники електричної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енергії, які мають ліцензію на право здійснення підприємницької діяльності з виробництва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електричної енергії і продають її поза ОРЕ та теплової енергії, окрім тих, які здійснюють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виробництво електричної електроенергії на кваліфікованих когенераційних установках та/або з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відновлюваних джерел енергії (для гідроенергії – виробленої лише малими електростанціями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потужністю до 20 МВт). Ставка Збору становить 3% від вартості фактично відпущеної платником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Збору електричної енергії без урахування податку на додану вартість.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 xml:space="preserve">Кошти з ІПФРЕЗР надаватимуться на безповоротній основі електроенергетичним підприємствам Західного регіону усіх типів власності. З такого джерела доцільно залучати </w:t>
      </w:r>
      <w:r w:rsidR="002C41FA">
        <w:rPr>
          <w:rFonts w:ascii="Times New Roman" w:hAnsi="Times New Roman" w:cs="Times New Roman"/>
          <w:sz w:val="28"/>
          <w:szCs w:val="28"/>
        </w:rPr>
        <w:t xml:space="preserve">30% </w:t>
      </w:r>
      <w:r w:rsidRPr="00DF5500">
        <w:rPr>
          <w:rFonts w:ascii="Times New Roman" w:hAnsi="Times New Roman" w:cs="Times New Roman"/>
          <w:sz w:val="28"/>
          <w:szCs w:val="28"/>
        </w:rPr>
        <w:t>необхідних інвестиційних вкладень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Розраховано, що обсяг надходжень в ІПФРЕЗР становитиме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майже 200 млн. грн. щорічно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Засновником ІПФРЕЗР та розпорядником його коштів буде НКРЕ, оскільки відповідно до ст</w:t>
      </w:r>
      <w:r w:rsidR="002C41FA">
        <w:rPr>
          <w:rFonts w:ascii="Times New Roman" w:hAnsi="Times New Roman" w:cs="Times New Roman"/>
          <w:sz w:val="28"/>
          <w:szCs w:val="28"/>
        </w:rPr>
        <w:t xml:space="preserve">.5 </w:t>
      </w:r>
      <w:r w:rsidRPr="00DF5500">
        <w:rPr>
          <w:rFonts w:ascii="Times New Roman" w:hAnsi="Times New Roman" w:cs="Times New Roman"/>
          <w:sz w:val="28"/>
          <w:szCs w:val="28"/>
        </w:rPr>
        <w:t>Положення про НКРЕ [7] НКРЕ має право створювати позабюджетні фонди для сприяння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функціонуванню та розвитку ринків, що нею регулюються. Джерела формування та напрями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використання коштів ІПФРЕЗР повинні бути визначені у Положенні про ІПФРЕЗР, яке НКРЕ має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затвердити в окремій постанові.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lastRenderedPageBreak/>
        <w:t>Механізм _______формування коштів фонду буде наступним: ДП «Енергоринок», в разі купівлі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електроенергії енергопостачальними компаніями Західного регіону (а саме: ПАТ «Волиньобленерго», ПАТ «ЕК «Закарпаттяобленерго», ПАТ «Львівобленерго», ТзОВ «Енергія-Новий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Розділ», ТзОВ НВП «Енергія-Новояворівськ», ПАТ «Прикарпаттяобленерго», ЗАТ «Ей-І-Ес Рівнеенерго») щомісяця здійснюватиме перерахування сплаченої цими компаніями частки інвес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тиційної надбавки на спеціальний рахунок уповноваженого банку ІПФРЕЗР. На цей же рахунок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надходитимуть також кошти Збору від виробників електричної енергії Західного регіону, які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здійснюють продаж електроенергії поза ОРЕ (Надвірнянська ТЕЦ, Рівненська ТЕЦ, Жидачівська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ТЕЦ, Дрогобицька ТЕЦ).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Кошти ІПФРЕЗР використовуватимуться для фінансування оновлення ОФ електроенергетичних підприємств Західного регіону, а також спорудження нових електричних станцій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(наприклад, малих ГЕС, когенераційних ТЕЦ). Фінансування вказаних заходів здійснюватиметься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щокварталу в межах сум, що фактично надійшли до ІПФРЕЗР на підставі поданих до НКРЕ заявок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зазначених вище енергопостачальних та енергогенеруючих компаній Західного регіону України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У заявці на виділення коштів з ІПФРЕЗР має бути обґрунтовано значення інвестиційного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проекту для регіону, а також подано техніко-економічне обґрунтування (ТЕО) проекту із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розрахунком фінансових потоків (доходів і витрат), які виникнуть внаслідок його реалізації із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використанням методу дисконтування цих грошових потоків, який є найбільш поширеним івикористовується для оцінки ефективності інвестиційних проектів. Також ТЕО проекту має містити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розрахунок чистої приведеної вартості проекту; значення цього показника у разі, якщо проект для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компанії буде ефективним, є додатнім, що свідчить про прибутковість проекту для компанії –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заявника і про її спроможність успішно реалізувати цей проект.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Обов’язковим є також зазначення графіка фінансування основних робіт за інвестиційним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проектом.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З метою розподілу коштів ІПФРЕЗР та забезпечення контролю за їх використанням, у складі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НКРЕ повинна бути утворена Рада ІПФРЕЗР у складі п’яти осіб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Не використані у звітному році кошти ІПФРЕЗР вилученню не підлягатимуть, а переходитимуть на наступний рік і використовуватимуться лише за напрямами, зазначеними у Положенні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про ІПФРЕЗР. Використання виділених з ІПФРЕЗР коштів не за призначенням, буде підставою для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припинення їх видавання і стягнення виданих коштів до ІПФРЕЗР у безспірному порядку.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У Звіті НКРЕ, який нею щорічно складається, повинен міститись баланс надходжень та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витрат коштів ІПФРЕЗР за попередній рік.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Позитивний досвід функціонування ІПФРЕЗР у Західному регіоні України може бути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використаний при створенні подібних фондів і в інших регіонах України у кожній регіональній ЕС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В умовах існування конкурентного ринку електричної енергії і відсутності державного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регулювання цін на електроенергію значно розширюється перелік джерел інвестування. Так, як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lastRenderedPageBreak/>
        <w:t>механізм залучення інвестицій споживачів електроенергії можна використовувати форвардні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контракти, у яких буде закріплено тариф на довгостроковий період і виробнику електроенергії буде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вигідно знижувати витрати, щоб мати змогу отримати додатковий прибуток, який потім можна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спрямувати на модернізацію електрогенеруючих потужностей чи спорудження нових.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Також ефективним механізмом є залучення коштів споживачів електричної енергії шляхом їх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 xml:space="preserve">участі у власності електрогенеруючих компаній. Споживач вноситиме частку коштів </w:t>
      </w:r>
      <w:r w:rsidR="002C41FA">
        <w:rPr>
          <w:rFonts w:ascii="Times New Roman" w:hAnsi="Times New Roman" w:cs="Times New Roman"/>
          <w:sz w:val="28"/>
          <w:szCs w:val="28"/>
        </w:rPr>
        <w:t xml:space="preserve">шляхо </w:t>
      </w:r>
      <w:r w:rsidRPr="00DF5500">
        <w:rPr>
          <w:rFonts w:ascii="Times New Roman" w:hAnsi="Times New Roman" w:cs="Times New Roman"/>
          <w:sz w:val="28"/>
          <w:szCs w:val="28"/>
        </w:rPr>
        <w:t>придбання акцій та укладення договору із електрогенеруючою компанією, електростанція якої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споруджується. У цьому договорі має бути закріплено обов’язок компанії здійснювати цим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споживачам продаж виробленої новою електростанцією електричної енергії за собівартістю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відповідно до частки участі кожного споживача, та право споживачів отримувати дивіденди за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акціями. Крім того, у договорі має бути зазначена жорстка відповідальність компанії – майбутнього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виробника електроенергії за нецільове використання вкладених коштів: повернення цих коштів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споживачу із сплатою йому значної суми штрафу</w:t>
      </w:r>
      <w:r w:rsidR="002C41FA">
        <w:rPr>
          <w:rFonts w:ascii="Times New Roman" w:hAnsi="Times New Roman" w:cs="Times New Roman"/>
          <w:sz w:val="28"/>
          <w:szCs w:val="28"/>
        </w:rPr>
        <w:t xml:space="preserve">. </w:t>
      </w:r>
      <w:r w:rsidRPr="00DF5500">
        <w:rPr>
          <w:rFonts w:ascii="Times New Roman" w:hAnsi="Times New Roman" w:cs="Times New Roman"/>
          <w:sz w:val="28"/>
          <w:szCs w:val="28"/>
        </w:rPr>
        <w:t>Доцільним є і застосування механізму залучення коштів енергопостачальних компаній, який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стимулюватиме їх вкладати засоби у спорудження електричних станцій. Енергопостачальна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компанія укладатиме з виробником електроенергії контракт на закупівлю певної кількості потужності відповідно до складеного прогнозу щоденного графіка електричного навантаження. У цьому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контракті має бути задокументовано зобов’язання енергопостачальної компанії у разі, коли реальне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електричне навантаження перевищить прогнозоване, закупити на ринку потрібну потужність за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значно вищою ціною (в 10 і більше разів), і додатково сплатити штраф. Отже, з метою виконання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умов укладеного договору, для енергопостачальної компанії стане вигідною інвестиційна</w:t>
      </w:r>
      <w:r w:rsidR="005174ED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діяльність.</w:t>
      </w:r>
    </w:p>
    <w:p w:rsidR="00DF5500" w:rsidRPr="00DF5500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Саме конкуренція і ціноутворення на основі затрат є найважливішими стимулами прийняття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рішень про реалізацію інвестиційних проектів. За дефіциту потужностей в ЕС тарифи зростатимуть</w:t>
      </w:r>
      <w:r w:rsidR="002C41FA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у зв’язку із ростом затрат на модернізацію існуючих потужностей чи спорудження нових.</w:t>
      </w:r>
    </w:p>
    <w:p w:rsidR="005D002B" w:rsidRDefault="00DF5500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500">
        <w:rPr>
          <w:rFonts w:ascii="Times New Roman" w:hAnsi="Times New Roman" w:cs="Times New Roman"/>
          <w:sz w:val="28"/>
          <w:szCs w:val="28"/>
        </w:rPr>
        <w:t>Внаслідок підвищення тарифів попит зменшуватиметься і, отже, зменшуватиметься потреба у</w:t>
      </w:r>
      <w:r w:rsidR="005174ED"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  <w:szCs w:val="28"/>
        </w:rPr>
        <w:t>спорудженні нових генеруючих потужностей. Цей механізм сприятиме раціональному споживаннюелектричної енергії, а також мінімізуватиме потребу у спорудженні нових потужностей</w:t>
      </w:r>
      <w:r w:rsidR="005174ED">
        <w:rPr>
          <w:rFonts w:ascii="Times New Roman" w:hAnsi="Times New Roman" w:cs="Times New Roman"/>
          <w:sz w:val="28"/>
          <w:szCs w:val="28"/>
        </w:rPr>
        <w:t>.</w:t>
      </w: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На сьогодні для України сільське господарство – ключова галузь, яка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має потужний інвестиційний потенціал. Подальший розвиток аграрного сек-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тору економіки України визначається рівнем інвестиційних можливостей та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інвестиційною привабливістю галузі. Пріоритетними напрямами реалізації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аграрної політики є нарощування виробництва та підвищення конкурентос-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проможності аграрного сектору, збільшення експорту сільськогосподарської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продукції, розвиток інфраструктури аграрного ринку, формування цілісної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системи фінансово-кредитного забезпечення агропромислового комплексу,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вдосконалення механізмів реалізації та захисту прав громадян на землю, а та-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кож створення привабливих умов для розвитку соціальної сфери села. Для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реалізації цих завдань і потрібні іноземні інвестиції, що через низку причин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надходять в економіку нашої країни поки що в недостатньому обсязі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6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Згідно з даними Міністерства аграрної політики України, основними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галузями агропромислового комплексу України є: землеробство; тваринниц-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тво; технічне забезпечення агропромислового комплексу; харчова та пере-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робна промисловість; ветеринарна медицина; рибне господарство; насінниц-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тво та розсадництво України; садівництво, виноградарство і виноробство;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розвиток сільських територій; контроль якості; Укрголовдержкарантин. В 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танні роки відбулася деякі зміни інвестиційних пріоритетів у АПК. Основний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приріст інвестицій було спрямовано в сільське господарство, особливо у тва-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ринництво. На сьогодні сільське господарство є однією з найпривабливіших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для інвесторів галузей.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Розвиток високотехнологічних галузей агропромислового комплексу,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створення нових і реконструкція потужностей харчової і переробної промис-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ловості є одним з найбільш пріоритетних напрямів у сфері залучення інозем-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них інвестицій в областях Західного регіону України, який володіє значним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потенціалом для розвитку аграрного сектору, а саме: вигідним географічним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розташуванням, сприятливими природно-кліматичними умовами, родючими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землями. Природно-кліматичні умови сприятливі для вирощування переваж-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ної більшості сільськогосподарських культур, зокрема конкурентоспромож-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них (ріпак, круп'яні культури, пшениця, жито, кукурудза, цукрові буряки).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Пріоритетними напрямами спеціалізації аграрного сектору для областей За-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хідного регіону України є: рослинництво (виробництво зерна, цукрових буря-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ків, картоплі, овочів, фруктів (Волинська, Закарпатська, Івано-Франківська,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Львівська, Рівненська, Тернопільська, Чернівецька області)); льону (Черні-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вецька обл.); садівництво, зокрема виноградарство та виноробство у Закар-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патській області; тваринництво (виробництво молока та м'яса); птахівництво;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конярство, вівчарство – в Івано-Франківській області; кролівництво, вівчар-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ство, рибне господарство – у Чернівецькій області; харчова промисловість та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перероблення сільськогосподарської продукції (Волинська, Закарпатська, Іва-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но-Франківська, Львівська, Рівненська, Тернопільська, Чернівецька області).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З метою забезпечення комплексного підходу до формування сприят-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ливого інвестиційного клімату в Україні, активізації інвестиційної діяльності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 аграрному секторі економіки Міністерством економіки України, Міністер-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ство аграрної політики України, обласні Держадміністрації розробили низку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нормативно-законодавчих документів. У межах своїх повноважень Мінагро-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політики України організовує виконання актів законодавства і здійснює сис-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тематичний контроль за їх реалізацією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15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Державне регулювання діяльнос-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ті у сфері аграрної політики здійснюється на основі Стратегій розвитку об-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ластей Західного регіону України. Згідно з положеннями Стратегій розвитку,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розроблено Програми розвитку інвестиційної діяльності в областях Західного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регіону України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10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5174ED">
        <w:rPr>
          <w:rFonts w:ascii="Times New Roman" w:hAnsi="Times New Roman" w:cs="Times New Roman"/>
          <w:sz w:val="28"/>
          <w:szCs w:val="28"/>
        </w:rPr>
        <w:t>з використанням SWOT-аналізу. Використання SWOT-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аналізу дає змогу визначити сильні та слабкі сторони стосовно розвитку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сільського господарства і перероблення сільгосппродукції. У Західному регі-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оні України сильними сторонами є: багатопрофільний сільськогосподарський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комплекс; повернення права власності на землю селянам; становлення фер-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мерських господарств; наявний досвід господарювання в колективних госпо-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дарствах; наявність матеріальної бази для харчової промисловості.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Сприятливими чинниками для формування стабільного інвестиційного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клімату в областях Західного регіону є створення сучасних регіональних клас-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терів _______(у промисловості, АПК, туризмі), розвиток виробництва екологічно чис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74ED">
        <w:rPr>
          <w:rFonts w:ascii="Times New Roman" w:hAnsi="Times New Roman" w:cs="Times New Roman"/>
          <w:sz w:val="28"/>
          <w:szCs w:val="28"/>
        </w:rPr>
        <w:t>тої продукції, розвиток садівництва, рибного господарства, конярства, вівчар-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ства. До слабких сторін можна віднести: низьку ефективність сільського гос-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подарства; дефіцит обігових коштів; різке скорочення кількості функціону-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ючих колективних сільськогосподарських підприємств; скорочення обсягів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виробництва сільгосппродукції переробної промисловості; значне зменшення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енергонасиченості у сільському господарстві; недостатнє запровадження ін-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тенсивних технологій; ризиковані природні умови ведення сільського госпо-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дарства; дрібнотоварне сільгоспвиробництво; неефективне використання сіль-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госпугідь; неналагоджену систему збирання та реалізації залишків с/г продук-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ції у селянських господарствах; занепад сировинної бази (скорочення площ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посіву технічних культур, зменшення поголів'я, ін.); несприятливе співвідно-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шення цін на сільгосппродукцію та товари матеріально-технічного забезпе-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чення сільського господарства; значна кількість гірських поселень з екстре-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мальними умовами ведення сільськогосподарського виробництва.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Інвестиційна криза в АПК останніх років за економічним змістом –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прямий результат системно-фінансової кризи аграрно-промислової сфери.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Чинники, що призвели до погіршення інвестиційного клімату в АПК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11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: 1)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зменшення припливу фінансових ресурсів у галузі АПК (падіння виторгу від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реалізації продукції) внаслідок скорочення платоспроможного попиту насе-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лення на продовольство; 2) додаткове зниження прибутків вітчизняних ви-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робників через необґрунтовано високу частку імпортного продовольства на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внутрішньому українському ринку (звуження ринку збуту); 3) здійснення в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стислі терміни корінної перебудови всієї системи бюджетних відносин, від-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мова від державної підтримки сільського господарства без адекватної ком-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пенсації фінансових втрат виробникам продовольства; 4) збереження моно-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полізованої структури промислового сектору вітчизняного АПК і відсутність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ринкових механізмів, регулюючих цінові взаємини сільськогосподарських,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переробних, торгово-закупівельних і ресурсоощадних підприємств. Погір-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шення фінансово-вартісних пропорцій міжгалузевого обміну, формування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дисбалансу між прибутками і витратами; 5) незавершеність процесів земель-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ної реформи та інституційних перетворень в сільському господарстві та в су-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міжних галузях АПК.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Інвестиційні процеси в АПК мають такі складнощі: наявність кризо-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вих чинників загального макроекономічного характеру; нестабільність еконо-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мічних процесів в перехідній економіці; відсутність належних політичних 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економічних гарантій іноземних інвестицій; більш висока ефективність вкла-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день капіталу у фінансовий сектор вітчизняної економіки; вкрай заплутана 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агресивна податкова система. Загрозу для формування стабільного інвести-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ційного клімату в областях Західного регіону становить також обмеженість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власних сільгоспресурсів, зниження продуктивності сільського господарства,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перешкоди на ринку збуту продукції АПК, екологічна небезпека, зокрема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природні катаклізми.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Внаслідок реалізації заходів Програми розвитку інвестиційної діяль-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ності в областях Західного регіону України, поліпшиться інвестиційний клі-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мат в областях, що активізує інвестиційну діяльність, створить умови для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зростання надходжень інвестицій в економіку області. Розвиток комплексів 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галузей сільського господарства, зокрема харчової і переробної промисловос-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ті, за допомогою SWOT-аналізу є одним із пріоритетних напрямів розвитку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областей у сфері економіки. Заходи, передбачені Програмою щодо сприяння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інвесторам та організації механізмів інвестування, спрощення дозвільних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процедур, спрямовані на підвищення інвестиційної привабливості області та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різке збільшення надходжень інвестицій.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 даними Держкомстату України основними інвесторами в агропро-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мисловий комплекс України є країни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9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: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● у сільське господарство: Кіпр (317 млн дол. США), Великобританія (133 млн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дол. США), Данія (56,8 млн дол. США), Сполучені Штати Америки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(51,5 млн дол. США), Німеччина (41,1 млн дол. США), Австрія (28,9 млн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дол. США, Франція (20,7 млн дол. США), Російська Федерація (18,1 млн дол.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США).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● у харчову промисловість: Нідерланди (570,6 млн дол. США), Швеція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(222,8 млн дол. США), Кіпр (218,5 млн дол. США), Великобританія (148 млн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дол. США), Сполучені Штати Америки (98,5 млн дол. США), Швейцарія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(83 млн дол. США), Франція (73,2 млн дол. США), Німеччина (59 млн дол.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США), Росія (44,3 млн дол. США).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Зокрема Волинська обл. протягом останніх років за обсягами прирос-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ту інвестицій посідає одне з провідних місць в Україні, але найменшу частку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іноземних і вітчизняних інвестицій вкладають у сільське господарство, в яко-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му інвестиції можуть спрямовуватися у перероблення рослинної продукції,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консервування, перероблення тваринницької продукції, створення тварин-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ницьких комплексів, свинокомплексів, молочно-переробну промисловість. Є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інвестори, котрі готові вкладати кошти у розвиток свинарства, вирощування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великої рогатої худоби (ВРХ). На сьогодні інвестори готові вкласти 20 млн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дол. у проект спорудження комплексу з вирощування ВРХ, але вони вимага-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ють гарантії того, що матимуть прибуток від вкладених коштів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8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Щодо Закарпатської області, то на сьогодні в ній зареєстровано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254 підприємств з іноземними інвестиціями угорського походження. Угорсь-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кі інвестиції, спрямовані у сільське господарство, мисливство, лісове госпо-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дарство, становлять 3,5 % (від загального обсягу). Загальна сума інвестицій,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що надійшли з Німеччини, за весь період інвестиційної діяльності становить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34,7 млн дол. США (9,7 % від загальнообласного обсягу прямих іноземних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інвестицій). Закарпатською облдержадміністрацією розроблено Проект нової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Програми розвитку виноградарства та виноробства до 2025 р. на 342 млн грн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4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, у якій розроблені механізми, які допоможуть відновити галузь; до 2025 р.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заплановано збільшити площу виноградників майже на 70 % – до 7,5 тис. га;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передбачено перехід на виключно європейські сорти. На реалізацію програми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заплановано виділити доволі значну суму – майже 342 млн грн, це кошти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державного та місцевих бюджетів.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Основними чинниками інвестиційної привабливості АПК Львівської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області для іноземних інвесторів є: відносно вищий, порівняно з іншими регі-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онами, рівень приватизації сільськогосподарських підприємств та під-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приємств системи агробізнесу; наявність кваліфікованої, відносно незайня-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тої, а тому дешевої робочої сили з досвідом роботи в сільському господарстві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та сфері агробізнесу за кордоном; вигідне географічне положення регіону;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наближеність до кордонів з Польщею; наявність спеціальних економічних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зон "Яворів" і "Трускавець"; потужний переробний сектор; відносно вищий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рівень господарської освіченості сільськогосподарських працівників; розви-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ток агробізнесових кооперативів; розвинена мережа комерційних банків, їх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філіалів, контор та кредитних спілок у сільській місцевості; наявність консал-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тингових служб, наукової і дослідної бази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5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Станом на 15 липня 2010 р.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підприємства агропромислового комплексу залучили інвестицій на суму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97,3 млн грн, що у 4,2 раза перевищує минулорічний рівень.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Сільське господарство Рівненської області становить майже четверти-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ну її валового внутрішнього продукту, забезпечує сировиною переробну про-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мисловість, створюючи основу експортного потенціалу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12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Високим є рі-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вень освоєння земель, придатних для сільськогосподарського виробництва.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Наявність значного поголів'я худоби і птиці, насиченість на 100 га сільсько-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господарських угідь худоби та птиці вища від середнього показника по Укра-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їні, наявність доріг з твердим покриттям до переважної більшості сільгос-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ппідприємств; наявність в регіоні найбільших на Західній Україні виробників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мінеральних добрив – ВАТ "Рівнеазот" та ТзОВ "Укртехнофос"; можливість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залучення до використання земель, власники яких не використовують ці зем-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лі з передачею їх в оренду; наявність незадіяних тваринницьких приміщень;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площа лісових угідь для заготівлі значних обсягів дикоростучих ягід – важ-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ливі чинники для інвестування в агропромисловий комплекс Рівненської об-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ласті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12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У 2009 р. в агропромисловий комплекс області залучено 206,9 млн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грн інвестиційних коштів. Інвестиційні кошти вкладались у технології виро-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щування сільськогосподарських культур, відновлення роботи тваринницьких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комплексів, розвиток птахівництва та свинарства, модернізацію молочної га-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лузі та переробних підприємств. Завдяки інвестиційним коштам з Республіки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Молдова сумою 1,2 млн дол. в області працює спеціалізоване підприємство з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найсучаснішого виробництва насіння цукрового буряка – ТзОВ "Дубнонасін-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ня". Розвинені цукрова (3 цукрових заводи), молокопереробна (11 заводів),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м'ясна (96 м'ясопереробних цехів), консервна, спиртова, пивоварна та хлібо-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пекарська галузь. Виробляють цукор, хлібобулочні та кондитерські вироби,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масло тваринне, сири, продукцію із незбираного молока, м'ясо, консерви та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ковбасні вироби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У Тернопільській обл. успішно виконують діяльність спільні українсь-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ко-німецьке підприємство ТОВ "Янке Україна" (виробництво фруктових та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овочевих соків), українсько-російсько-швейцарське підприємство ЗАТ "Тю-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тюн Імпекс" (виробництво тютюнових виробів) та ТОВ "Рапс Соя Трейдинг"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(вирощування зернових культур); в Теребовлянському районі – новостворені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підприємства із 100 % данським капіталом ТОВ "Ліндеванг" (виробництво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сільськогосподарської продукції) та підприємство зі 100 % німецьким капіта-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лом ТОВ "Агропрогрес – Теребовля". Станом на 1.07.2010 р. здебільшого в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економіці підприємств області, що виробляють харчові продукти, напої та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тютюнові вироби (17,1 %); сільськогосподарської галузі, мисливства, лісово-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го господарства (10,6 %), були зосереджені найбільші обсяги прямих інозем-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них інвестицій. За даними Тернопільської обласної адміністрації протягом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останніх років економіка Тернопільської області розвивається достатньо ви-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сокими темпами. Незважаючи на економічну кризу, рівень прямих іноземних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інвестицій у підприємства області за минулий рік зріс на 113 %. На сьогодні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 області діє 147 підприємств, які мають частку іноземного капіталу.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Найбільше інвестицій надходить у сільськогосподарську галузь – понад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 xml:space="preserve">200 млн дол.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7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Пріоритетні види економічної діяльності у Чернівецькій області сто-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суються таких галузей економіки: сільське господарство; рибне господар-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ство; харчова промисловість та переробка сільськогосподарської продукції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2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Іноземні інвестиції в економіку Чернівецької області становлять всього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2 %. Велика частка інвестицій надходить з Італії, Румунії, Туреччини та країн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СНД. Сільське господарство (4 %) є одним із найбільш популярних серед ін-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весторів поряд з промисловістю (куди вкладають 60 % інвестицій) та сферою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послуг (20 %) у Чернівецькій області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3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На сьогодні ведуться переговори з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інвесторами щодо побудови гуртового ринку сільськогосподарської продук-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ції, комплексу з промислового вирощування кролів, лінії шокового заморо-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жування продуктів.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Діяльність інвесторів в аграрному секторі економіки представлена ве-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ликою кількістю компаній, які, незважаючи на фінансово-економічну кризу,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сьогодні є найстабільнішою складовою економіки нашої держави. Однією з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провідних фінансово-інвестиційних компаній України, що успішно працює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 вітчизняному та міжнародному ринках є АТ "Українська фінансова гру-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па", яка разом із партнерами інвестувала у економіку країни понад 120 млн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дол.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14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, загальний обсяг інвестицій у об'єкти промислового та сільськогос-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подарського виробництва, що входять до пакету пріоритетних проектів AT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УФГ, перевищує 100 млн дол. Нині УФГ продовжує пошук на міжнародному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ринку перспективних інвесторів і залучення їх до співпраці з українськими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виробниками, забезпечує консалтинг, комплексне обслуговування інвести-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ційних проектів у різних галузях промисловості та сільського господарства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України. На сьогодні Європейський банк реконструкції і розвитку (ЄБРР) є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комплексним інвестором в економіку країни, зокрема впроваджує проекти в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аграрному секторі та переробній промисловості. Особливо важливими є зу-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силля ЄБРР у вирішенні проблеми нестачі обігового капіталу в аграрному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секторі, середньо- та довготермінового кредитування сільгоспвиробників,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створення прозорого зернового ринку, зокрема створення відповідної інфрас-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труктури. Актуальним завданням у напрямі подальшого розвитку сільсько-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господарської галузі є розвиток інфраструктури експорту сільськогоспо-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дарської продукції, мінімізація витрат у разі експорту, вихід сільськогоспо-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дарських підприємств на нові ринки збуту.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Ринок інвестицій найбільшою мірою виявляється через політику кре-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дитування банками, сільськогосподарські підприємства кредитуються пере-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важно комерційними банками. Водночас кредитування капітальних вкладень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комерційними банками має серйозні вади: високі відсоткові ставки на кре-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дит; надання засобів на порівняно короткий період. Це стримує розвиток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сільського господарства і не сприяє ефективному використанню ресурсів.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Визначення шляхів покращення фінансування інвестиційних проектів аграр-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них підприємств за рахунок кредитних ресурсів особливо важливе в умовах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важкого економічного стану багатьох аграрних підприємств.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Інвестиції повинні надходити не лишень у виробництво, але і в техно-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логії, в науку. Необхідно залучати іноземний капітал для переведення агроп-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ромислового виробництва на сучасну технологічну базу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13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Сільське госпо-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дарство має бути визначене як пріоритетна галузь для інвестицій у наукові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дослідження. На сьогодні недостатньо інвестиційних ресурсів, спрямованих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 інноваційну діяльність, розвиток технічної бази сільськогосподарського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виробництва. Ефективність інвестиційної політики щодо технічного оновлен-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ня сільськогосподарських підприємств на інноваційній основі та вдоскона-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лення структури їх машинно-тракторного парку, комплексне формування ін-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фраструктури ринку технічних засобів на регіональному і галузевому рівнях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є важливим фактором залучення інвестицій в аграрний сектор економіки. Ін-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вестиційні ресурси дають змогу здійснювати технічне переоснащення, осво-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ювати випуск конкурентоспроможної продукції, як на внутрішньому, так і на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зовнішньому ринках.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Аграрна політика Уряду у сфері вирощування та реалізації сільсько-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господарської продукції у найближчій перспективі має бути спрямована на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стійкий розвиток агропромислового комплексу на інноваційній основі, про-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довольчого убезпечення країни, утвердження повноцінного ринку землі, роз-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виток ринкової інфраструктури, нарощування експортного потенціалу, засто-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сування _______узгоджених із нормами СОТ механізмів захисту національного аграрного ринку, створення умов для повноцінного розвитку села. Інвестиції в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сільськогосподарську науку і техніку приведуть до економічного зростання,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середовища, сприятливого для інновацій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6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Втілюються у життя відповідні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заходи щодо впровадження ґрунтозахисної, енергозберігаючої системи зем-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леробства, зменшення надмірного ущільнення ґрунтів, захисту піщаних ґрун-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тів від вітрової ерозії. Селекціонери працюють над створенням високопро-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дуктивних імунних сортів озимого жита, ярого ячменю, жовтого кормового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люпину; у галузі молочного скотарства створюються селекційні й товарні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стада худоби поліського чорно-рябого типу.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Для збільшення виробництва валової продукції сільського господар-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ства, поліпшення діяльності аграрного ринку в областях Західного регіону,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покращення селекційно-племінної роботи розроблено стратегічні напрями за-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лучення інвестицій в агропромисловий комплекс області, а саме: 1) у рослин-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ництві: залучення під посів сільськогосподарських культур ріллі, що не об-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робляється; запровадження інтенсивних технологій вирощування сільгос-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пкультур, що забезпечили б отримання стабільних урожаїв, не погіршуючи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при цьому потенційну родючість ґрунтів; збільшення площі конкурентоспро-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можних культур, зокрема цукрових буряків, ріпаку та круп'яних культур; по-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повнення машинно-тракторного парку високоефективною технікою; 2) у тва-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ринництві: реконструкція та модернізація молочної галузі, зокрема встанов-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лення доїльних залів; розвиток м'ясного скотарства; у свинарстві – створення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нових ферм і племрепродукторів із розведення свиней м'ясного напрямку;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відновлення роботи відгодівельних комплексів із свинарства та птахівництва;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3) у переробній галузі: реконструкція та технічне переоснащення окремих пе-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реробних підприємств м'ясної та молочної промисловості; запровадження но-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вих технологій, освоєння випуску нових видів продукції; придбання і вста-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новлення ліній швидкого заморожування плодів, ягід та овочів; технічне пе-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реоснащення комбікормових заводів із виробництва збалансованих комбікор-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мів та концентратів.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Стратегічні напрями збереження та зміцнення економічної бази малих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 безпосередньо пов'язані з реформуванням аграрного сектору економіки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України та реалізацією аграрної політики держави і передбачають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13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: даль-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ший розвиток земельних відносин та формування ринку землі; прискорення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темпів формування селянських (фермерських) господарств, зокрема в малих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селах; формування аграрного ринкового середовища; матеріально-технічне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забезпечення сільськогосподарських товаровиробників; відновлення пого-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лів'я худоби та тваринницьких ферм у малих селах; державна підтримка ма-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лих форм господарювання; сприяння держави фінансовому забезпеченню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дрібних товаровиробників, які мешкають у малих селах і мають значні труд-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нощі в розвитку власного бізнесу; повне використання природного та вироб-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ничого потенціалів.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Реалізація зазначених заходів сприятиме зміцненню та підвищенню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рентабельності сільськогосподарського виробництва, покращенню інвести-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ційного іміджу України та збільшенню обсягів залучення іноземних інвести-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цій та інвестицій в основний капітал, в її економіку.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Розвиток високопродуктивного агропромислового комплексу (круп-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нотоварне виробництво сільськогосподарської продукції, технічне переосна-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щення підприємств агропромислового комплексу, розвиток комбікормової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промисловості, створення розгалуженої сервісної інфраструктури) визначено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як один із найважливіших напрямів інвестування областей Західного регіону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України на період до 2015 р. Отже, за своїм географічним розташуванням,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багатими рекреаційними ресурсами, економічним потенціалом області Захід-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ного регіону України є привабливим регіоном для розвитку міжрегіональної</w:t>
      </w:r>
    </w:p>
    <w:p w:rsid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та міжнародної співпраці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Однією з необхідних умов налагодження виробництва та виходу Укра-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їни на міжнародні ринки є залучення іноземних інвестицій. Процес іноземного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інвестування регламентується Законом України "Про іноземні інвестиції" [1].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Дослідження цієї проблеми проводили такі автори: О. Швагуляк-Шос-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так, О. Сухий, Л. Перетятко, Л. Школьник та інші.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lastRenderedPageBreak/>
        <w:t>Практика залучення іноземних інвестицій в Україну показує, що роз-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мір іноземних капіталовкладень, залежно від регіону, значно відрізняється.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Як правило, інвестори віддають перевагу промислово-розвинутим географіч-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но вигідно розташованим регіонам, до складу яких належить Західний регіон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України, а Львівська область, яка впродовж останніх років входить до чільної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п'ятірки у структурі іноземних капіталовкладень, зокрема [2].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За останні п'ять років активними учасниками вкладення інвестицій у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львівські підприємства стали представники більш, ніж півсотні країн. Найак-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тивніші за кількістю СП – співзасновники з Польщі (30 %), Німеччини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(10 %), Росії (8 %), США (7 %).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Іноземні партнери з 60 країн світу вклали інвестиції у 1054 під-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приємства та організації Львівської області. Загальний обсяг залучених іно-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земних інвестицій в економіку Львівщини на кінець 2004 р. становив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304,9 млн. доларів США, а з інших країн світу – 297,2 млн. $ [3] (рис. 1, 2).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Рис. 1. Динаміка надходжень іноземних інвест</w:t>
      </w:r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ицій у підприємства області [4]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За обсягом реально залучених іноземних інвестицій у підприємства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Львівщини, хотілося б виділити АТ "Львівська кондитерська фірма "Світоч"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та ТзОВ "Львівська тютюнова фабрика".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Рис. 2. Інвестиції у підприємства Львівщини </w:t>
      </w:r>
      <w:r w:rsidRPr="005174ED">
        <w:rPr>
          <w:rFonts w:ascii="Times New Roman" w:eastAsia="TimesNewRoman" w:hAnsi="Times New Roman" w:cs="Times New Roman"/>
          <w:i/>
          <w:iCs/>
          <w:sz w:val="28"/>
          <w:szCs w:val="28"/>
        </w:rPr>
        <w:t>(за видом економічної діяльності)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АТ "Львівська кондитерська фірма "Світоч". Компанія "Нестле"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(Швейцарія), яка заявила про купівлю третини акцій Львівської кондитерсь-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кої фірми, а в інвестиційних зобов'язаннях пообіцяла придбати 75 % під-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приємства, сьогодні зосередила у своїх руках 90 % власності вітчизняної цу-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керні. "Нестле" планувало інвестувати у "Світоч" 40 млн.$, які підуть на по-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гашення боргів підприємства і модернізацію виробництва. На цей час отри-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мано лише 10 млн.$, за які "Світоч" придбав шоколадну лінію "Маццетті"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(Італія), яка забезпечує 40 % прибутку. Зайнявши провідне місце на "Світо-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чі", швейцарська компанія "Нестле" продовжує скуповувати акції у працівни-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ків підприємства, володіючи правами акцій "абсолютного власника" Львівсь-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 xml:space="preserve">кої кондитерської фірми "Світоч" </w:t>
      </w:r>
      <w:r w:rsidRPr="005174ED">
        <w:rPr>
          <w:rFonts w:ascii="Times New Roman" w:eastAsia="TimesNew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eastAsia="TimesNewRoman" w:hAnsi="Times New Roman" w:cs="Times New Roman"/>
          <w:sz w:val="28"/>
          <w:szCs w:val="28"/>
        </w:rPr>
        <w:t>5, 8</w:t>
      </w:r>
      <w:r w:rsidRPr="005174ED">
        <w:rPr>
          <w:rFonts w:ascii="Times New Roman" w:eastAsia="TimesNew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Рис. 3. Схема перерозподілу акцій ЗАТ "Світоч" у зв'язку з інвестиціями "Нестле"[8]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ТзОВ "Львівська тютюнова фабрика". Інтернаціональний інвестор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"Р. Дж. Рейнолдс – Тобакко" (Кіпр), скориставшись інвестиційними пільгами,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викупив підприємство з 200–річним досвідом та отримав 70 % акцій. Отри-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мавши ще 28 % акцій розпочався процес згортання виробництва. Очікуваний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об'єм процесу санації підприємства, практично, не відбувся. Проте практичні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реалії виявилися сильнішими за теоретичні прогнози і на Львівській фабриці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знову запрацювала сигаретно-пакувальна лінія, потужністю 50 млн. шт. сига-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рет на місяць. Нова тютюнова фабрика налаштована розпочати свою діяль-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lastRenderedPageBreak/>
        <w:t>ність з відновлення випуску старих добре відомих багатьом поколінням шану-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вальників сортів сигарет – "Орбіти" і "Львова" [6].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Отже, Львівщина є інвестиційно привабливою для іноземних інвесто-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рів, що зумовлено великою ємністю потенційного ринку, стратегічно-вигід-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ним розташуванням, розвинутою комунікаційною і транспортною інфрас-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труктурами, історично розвинутою промисловістю. Ці всі чинники сприяють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тому, що Львівська область посідає третє місце по залученню інвестицій, а в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номінації "інвестор року" переважає угорська компанія "Данкар Крафт" та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компанія "Форма маркет КФТ", які вклали у ЗАТ "ЛАЗ" 30,6 млн.$. Також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спеціальну відзнаку отримала французька компанія "Лафардж Україна" за за-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лучення 4,5 млн.$ для ВАТ "Миколаївцемент". За підсумками року, відзначе-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но також англійських інвесторів, оскільки за участю їх капіталу на території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області утворено 34 підприємства, серед яких: СП "Галка", СП "НТОН", АТ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"Кредит Банк Україна", ТзОВ "Яблуневий дар" та інші. Також за підсумками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конкурсу – виставки Купуйте Українське" виявилося, що більше 15 % її учас-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ників працюють з іноземними інвестиціями, а саме: ЗАТ "Львівська конди-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терська фірма "Світоч", СП "Галка ЛТД", ВАТ "Концерн "Стірол". Всі ці під-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приємства мають інвестиції в Росії, Англії, Німеччині, Польщі та інших кра-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їнах. Більшість підприємств-переможців були із Львівщини. Крім того, про-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дукція, представлена на виставці, отримала високу оцінку кваліфікованих ек-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спертів – фахівців у галузі якості, і щонайголовніше – здобули визнання у</w:t>
      </w:r>
    </w:p>
    <w:p w:rsidR="005174ED" w:rsidRPr="005174ED" w:rsidRDefault="005174ED" w:rsidP="005174E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споживачів, на мій погляд, одна з найвагоміших переваг для успішного проц-</w:t>
      </w:r>
    </w:p>
    <w:p w:rsidR="005174ED" w:rsidRPr="005174ED" w:rsidRDefault="005174ED" w:rsidP="005174E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eastAsia="TimesNewRoman" w:hAnsi="Times New Roman" w:cs="Times New Roman"/>
          <w:sz w:val="28"/>
          <w:szCs w:val="28"/>
        </w:rPr>
        <w:t>вітання підприємства [7].</w:t>
      </w:r>
    </w:p>
    <w:p w:rsidR="005174ED" w:rsidRDefault="005174ED" w:rsidP="005174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Трансформація соціально-економічної моделі суспільства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неможлива без широкомасштабних вкладень у реальний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сектор економіки. У цьому плані роль банківської системи є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досить вагомою [2, с. 182-183]. Крім того, процеси глобалізації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світової економіки не обійдуть ні Україну, ні її фінансово-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банківську систему, особливо якщо врахувати відкритість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вітчизняної економіки. Це потребує глибокого осмислення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процесів входження іноземного капіталу в банківську систему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України для визначення стратегії розвитку [3, с. 81]. Тому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проведемо аналіз присутності іноземного капіталу в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банківській системі регіонів України.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Проведений нами аналіз свідчить, що експансія іноземного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капіталу набрала істотних обертів. Українські власники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банківських активів поспішають скористатися ажіотажем: на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кожен привабливий український банк претендувало мінімум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три західних фінансових установи. Так, якщо у 2003-2004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роках кількість банків з іноземним капіталом становила 19, то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lastRenderedPageBreak/>
        <w:t>у 2005 році до цього реєстру долучилися чотири, у 2006 та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2007 році - по 12 відповідно, а у 2008 році - збільшення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відбулося ще на 6, з них 17 банків - зі 100% іноземним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капіталом. Таким чином, кількість банківських установ з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іноземним капіталом за аналізований період зросла у 3,2 рази,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а це ще раз підтверджує, що іноземний капітал займає дедалі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більше місце в банківській системі України (табл. 1).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Варто зазначати, що збільшення присутності нерезидентів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відбувалося одночасно з ростом капіталізації банківської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системи. За 2007 рік зареєстрований статутний капітал банків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виріс на 63% - з 26,266 млрд. грн. до 42,873 млрд. грн., тільки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 грудень - на 4%, або 1,653 млрд. грн. При цьому частка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іноземного капіталу у загальному зареєстрованому статутному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Таблиця 1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80B">
        <w:rPr>
          <w:rFonts w:ascii="Times New Roman" w:hAnsi="Times New Roman" w:cs="Times New Roman"/>
          <w:b/>
          <w:bCs/>
          <w:sz w:val="28"/>
          <w:szCs w:val="28"/>
        </w:rPr>
        <w:t>Основні показники діяльності банків України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80B">
        <w:rPr>
          <w:rFonts w:ascii="Times New Roman" w:hAnsi="Times New Roman" w:cs="Times New Roman"/>
          <w:b/>
          <w:bCs/>
          <w:sz w:val="28"/>
          <w:szCs w:val="28"/>
        </w:rPr>
        <w:t>за 2003-2008 роки [4, с. 19]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Назва показника Роки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2003 2004 2005 2006 2007 2008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Кількість зареєстрованих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банків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179 181 186 193 198 198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Вилучено з Державного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реєстру банків (з початку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року)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8 4 1 6 1 7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Кількість баків, що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перебувають у стадії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ліквідації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20 20 20 19 19 13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Кількість діючих банків, з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них: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158 160 165 170 175 184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- з іноземним капіталом, 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тому числі: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19 19 23 35 47 53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- з 100-відсотковим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іноземним капіталом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7 7 9 13 17 17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Частка іноземного капіталу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 статутному капіталі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банків, %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lastRenderedPageBreak/>
        <w:t>11,3 9,6 19,5 27,6 35,0 36,7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капіталі діючих банків України у 2006 році збільшилася з 19,5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до 21,6%. На початку 2007 року частка іноземного капіталу в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українській банківській системі становила 27,6%. За рік вона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збільшилася більш ніж на 7%, а станом на 01.01.09 р.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становила 36,7%.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У 2006 році іноземний капітал в Україні був представлений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16-ма країнами [5], а у 2007 та 2008 роках - 17-ма. Найбільшу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частку становить капітал Австрії, Франції, Кіпру, Російської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Федерації, Нідерландів, Угорщини, Польщі та Німеччини.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Протягом 2003-2005 років серед регіонів, де функціонують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банківські установи-юридичні особи з іноземним капіталом,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найбільшим відсотком до загальної кількості банків з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іноземним капіталом характеризуються м. Київ та Донецька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область. У 2006 році до них приєдналася Харківська область, 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2007 році - Дніпропетровська та Львівська, а у 2008 році 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Запорізька. Це є зрозумілим, оскільки у 2003-2008 роках на м.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Київ припадає 73,0-82,0% від загальної кількості банків з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іноземним капіталом, а в інших названих областях 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здійснюють діяльність один-чотири банки з іноземним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капіталом.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Слід зазначити, що частка у статутному капіталі - це один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із основних показників для оцінки ступеня впливу іноземців і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свідчить про їх залучення у стратегічні рішення щодо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соціально-економічного розвитку країни. По суті, це величина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прямих іноземних інвестицій у банківський сектор [6, с 173].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Частка іноземного капіталу у власному капіталі банків регіону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 аналізований період була незначною, крім Івано-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Франківської (від 72,1% у 2007 році до 79,8% у 2008 році),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Львівської (від 52,5% у 2003 році до 67,8% у 2008 році) та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Волинської областей (від 35,9% у 2003 році до 64,4% у 2008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році). У м. Києві вона зростала від 7,9% у 2003 році до 26,5% 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2008 році; Одеській області - від 9,6% у 2003 році до 12,4% 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2008 році, Харківській області - від 23,6% у 2005 році до 7,0%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у 2008 році; Чернігівській області - від 15,0% у 2007 році до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17,2% у 2008 році. Лідерство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Західного регіону за цим показником пояснюється значною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часткою іноземного капіталу у статутному капіталі банків, м.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Києва - значною кількістю банківських установ-юридичних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осіб з іноземним капіталом у порівнянні з іншими регіонами (у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2003 році - 14 з 19, а у 2008 році - 36 із 53). Щодо Харківської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lastRenderedPageBreak/>
        <w:t>області, то хоч у цьому регіоні і функціонує лише 2 банки з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іноземним капіталом з 11-ти діючих, але їх іноземна частка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(50,9%) у статутному капіталі регіону є досить значною, що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дозволило вивести дану область за цим показником до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регіонів-лідерів.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Важливим показником стану безпеки регіону є обсяг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залучення прямих іноземних інвестицій у капітал банківських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установ. За цим показником лише м. Київ та Волинська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знаходиться у стані небезпеки, оскільки його значення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перевищує порогове - 5% прямих іноземних інвестицій від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ВРП.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На основі проаналізованих показників розраховано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інтегральний показник та індикатор присутності іноземного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капіталу в банківській системі регіонів, а згідно отриманих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результатів проведено групування регіонів (табл, 2).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Таблиця 2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80B">
        <w:rPr>
          <w:rFonts w:ascii="Times New Roman" w:hAnsi="Times New Roman" w:cs="Times New Roman"/>
          <w:b/>
          <w:bCs/>
          <w:sz w:val="28"/>
          <w:szCs w:val="28"/>
        </w:rPr>
        <w:t>Групування регіонів за рівнем присутності іноземного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80B">
        <w:rPr>
          <w:rFonts w:ascii="Times New Roman" w:hAnsi="Times New Roman" w:cs="Times New Roman"/>
          <w:b/>
          <w:bCs/>
          <w:sz w:val="28"/>
          <w:szCs w:val="28"/>
        </w:rPr>
        <w:t>капіталу в їх банківській системі (2008 рік)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Регіони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високого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рівня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Рейтинг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Регіони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середнього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рівня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Рейтинг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Регіони низького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рівня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Рейтинг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регіону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Івано-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Франківська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 Чернігівська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6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Волинська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2 Одеська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7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Львівська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lastRenderedPageBreak/>
        <w:t>область 3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Дніпропе-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тровська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8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Харківська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4 Запорізька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9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м. Київ 5 Донецька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 10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АР Крим,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Вінницька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Житомирська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Київська 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Закарпатська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Луганська 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Кіровоградська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Сумська 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Миколаївська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Черкаська 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Полтавська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Рівненська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Тернопільська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Херсонська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Хмельницька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Чернівецька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область,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м. Севастополь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11-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27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Як бачимо, за рівнем присутності іноземного капіталу в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lastRenderedPageBreak/>
        <w:t>банківській системі регіонів високий рівень надається Івано-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Франківській, Львівській, Волинській, Харківській областях та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м. Києву. Лідерство Західного регіону та Харківської області за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цим показником пояснюється значною часткою іноземного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капіталу у статутному капіталі банківських установ, а м.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Києва - значною кількістю банківських установ-юридичних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осіб з іноземним капіталом у порівнянні з іншими регіонами.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Хоча згідно розрахунків усі решта регіонів отримали низький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рівень, однак ми вирішили розділити дані регіони на регіони з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відсутнім іноземним капіталом у банківській системі та на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регіони, де частка іноземних інвестицій хоч і незначна, але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присутня. Тому до групи середнього рівня ми віднесли такі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регіони як Чернігівську, Одеську, Дніпропетровську,</w:t>
      </w:r>
    </w:p>
    <w:p w:rsidR="00E81AFB" w:rsidRPr="0071180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Запорізьку та Донецьку області, а до групи низького рівня -</w:t>
      </w:r>
    </w:p>
    <w:p w:rsidR="00E81AFB" w:rsidRDefault="00E81AFB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B">
        <w:rPr>
          <w:rFonts w:ascii="Times New Roman" w:hAnsi="Times New Roman" w:cs="Times New Roman"/>
          <w:sz w:val="28"/>
          <w:szCs w:val="28"/>
        </w:rPr>
        <w:t>решту 17 регіонів.</w:t>
      </w:r>
    </w:p>
    <w:p w:rsidR="00B159AC" w:rsidRDefault="00B159AC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9AC" w:rsidRDefault="00B159AC" w:rsidP="00B159AC">
      <w:pPr>
        <w:pStyle w:val="a4"/>
        <w:spacing w:before="0" w:beforeAutospacing="0" w:after="0" w:afterAutospacing="0"/>
        <w:ind w:firstLine="360"/>
        <w:jc w:val="center"/>
      </w:pPr>
      <w:bookmarkStart w:id="1" w:name="top"/>
      <w:r>
        <w:rPr>
          <w:rFonts w:ascii="Verdana" w:hAnsi="Verdana"/>
          <w:b/>
          <w:sz w:val="20"/>
          <w:szCs w:val="20"/>
        </w:rPr>
        <w:t>Інвестиційна привабливість АПК області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1.       Природнокліматичні умови сприятливі для вирощування переважної більшості сільськогосподарських культур, зокрема конкурентноспроможних (ріпак, круп’яні культури, пшениця, жито, кукурудза, цукрові буряки);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2.       Високим є рівень освоєння земель, придатних для сільськогосподарського виробництва;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3.       Наявність значного поголів’я худоби і птиці, насиченість на 100 га сільськогосподарських угідь худоби та птиці вища середнього показника по Україні;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4.       Наявність доріг з твердим покриттям до переважної більшості сільгосппідприємств;</w:t>
      </w:r>
    </w:p>
    <w:p w:rsidR="00B159AC" w:rsidRDefault="00B159AC" w:rsidP="00B159AC">
      <w:pPr>
        <w:pStyle w:val="a4"/>
        <w:spacing w:before="0" w:beforeAutospacing="0" w:after="0" w:afterAutospacing="0"/>
        <w:ind w:firstLine="700"/>
      </w:pPr>
      <w:r>
        <w:rPr>
          <w:rFonts w:ascii="Verdana" w:hAnsi="Verdana"/>
          <w:sz w:val="20"/>
          <w:szCs w:val="20"/>
        </w:rPr>
        <w:t>5.       Наявність в регіоні найбільшого на Західній Україні виробника мінеральних добрив – ВАТ „Рівнеазот” та ТзОВ „Укртехнофос”;</w:t>
      </w:r>
    </w:p>
    <w:p w:rsidR="00B159AC" w:rsidRDefault="00B159AC" w:rsidP="00B159AC">
      <w:pPr>
        <w:pStyle w:val="a4"/>
        <w:spacing w:before="0" w:beforeAutospacing="0" w:after="0" w:afterAutospacing="0"/>
        <w:ind w:firstLine="700"/>
      </w:pPr>
      <w:r>
        <w:rPr>
          <w:rFonts w:ascii="Verdana" w:hAnsi="Verdana"/>
          <w:sz w:val="20"/>
          <w:szCs w:val="20"/>
        </w:rPr>
        <w:t>6.       Можливість залучення до використання земель, власники яких не використовують дані землі з передачею їх в оренду;</w:t>
      </w:r>
    </w:p>
    <w:p w:rsidR="00B159AC" w:rsidRDefault="00B159AC" w:rsidP="00B159AC">
      <w:pPr>
        <w:pStyle w:val="a4"/>
        <w:spacing w:before="0" w:beforeAutospacing="0" w:after="0" w:afterAutospacing="0"/>
        <w:ind w:firstLine="700"/>
      </w:pPr>
      <w:r>
        <w:rPr>
          <w:rFonts w:ascii="Verdana" w:hAnsi="Verdana"/>
          <w:sz w:val="20"/>
          <w:szCs w:val="20"/>
        </w:rPr>
        <w:t>7.       Наявність незадіяних тваринницьких приміщень;</w:t>
      </w:r>
    </w:p>
    <w:p w:rsidR="00B159AC" w:rsidRDefault="00B159AC" w:rsidP="00B159AC">
      <w:pPr>
        <w:pStyle w:val="a4"/>
        <w:spacing w:before="0" w:beforeAutospacing="0" w:after="0" w:afterAutospacing="0"/>
        <w:ind w:firstLine="700"/>
      </w:pPr>
      <w:r>
        <w:rPr>
          <w:rFonts w:ascii="Verdana" w:hAnsi="Verdana"/>
          <w:sz w:val="20"/>
          <w:szCs w:val="20"/>
        </w:rPr>
        <w:t>8.       Площа лісових угідь дає можливість заготовляти значні об’єми дикоростучих ягід.</w:t>
      </w:r>
    </w:p>
    <w:p w:rsidR="00B159AC" w:rsidRDefault="00B159AC" w:rsidP="00B159AC">
      <w:pPr>
        <w:pStyle w:val="a4"/>
        <w:spacing w:before="0" w:beforeAutospacing="0" w:after="0" w:afterAutospacing="0"/>
        <w:ind w:firstLine="70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b/>
          <w:sz w:val="20"/>
          <w:szCs w:val="20"/>
        </w:rPr>
        <w:t>Пріоритетні напрямки залучення інвестицій в агропромисловий комплекс області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b/>
          <w:sz w:val="20"/>
          <w:szCs w:val="20"/>
        </w:rPr>
        <w:t>у рослинництві: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залучення під посів сільськогосподарських культур ріллі, що не обробляється;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впровадження інтенсивних технологій вирощування сільгоспкультур, які забезпечили б одержання стабільних урожаїв не погіршуючи при цьому потенційну родючість ґрунтів;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збільшення площі конкурентноспроможних культур, зокрема зернових та круп’яних культур, ріпаку;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поповнення машинно-тракторного парку високоефективною технікою.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b/>
          <w:sz w:val="20"/>
          <w:szCs w:val="20"/>
        </w:rPr>
        <w:t>у тваринництві: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реконструкція та модернізація молочної галузі, зокрема встановлення доїльних залів;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розвиток м’ясного скотарства в поліській зоні;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у свинарстві створення нових ферм і племрепродукторів з розведення свиней м’ясного напрямку;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lastRenderedPageBreak/>
        <w:t>- відновлення роботи відгодівельних комплексів по свинарству та птахівництву.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b/>
          <w:sz w:val="20"/>
          <w:szCs w:val="20"/>
        </w:rPr>
        <w:t>у переробній галузі: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реконструкція та технічне переоснащення окремих переробних підприємств м'ясної та молочної промисловості;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впровадження нових технологій, освоєння випуску нових видів продукції;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- придбання і встановлення ліній швидкої заморозки плодів, ягід та овочів.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</w:pPr>
      <w:r>
        <w:rPr>
          <w:rStyle w:val="a5"/>
          <w:rFonts w:ascii="Verdana" w:hAnsi="Verdana"/>
          <w:sz w:val="20"/>
          <w:szCs w:val="20"/>
        </w:rPr>
        <w:t>Інвестиційна діяльність</w:t>
      </w:r>
    </w:p>
    <w:p w:rsidR="00B159AC" w:rsidRDefault="00B159AC" w:rsidP="00B159AC">
      <w:pPr>
        <w:pStyle w:val="a4"/>
        <w:spacing w:before="0" w:beforeAutospacing="0" w:after="0" w:afterAutospacing="0"/>
        <w:jc w:val="center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Завдяки вжитим заходам в області поліпшено інвестиційну привабливість агропромислового комплексу. За останні 3 роки намітилась тенденція до зростання обсягів залучених інвестицій.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noProof/>
        </w:rPr>
        <w:drawing>
          <wp:inline distT="0" distB="0" distL="0" distR="0" wp14:anchorId="7C5DD9DE" wp14:editId="377C24A4">
            <wp:extent cx="5972175" cy="28178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378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AC" w:rsidRDefault="00B159AC" w:rsidP="00B159AC">
      <w:pPr>
        <w:pStyle w:val="a4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За статистичними даними в агропромисловий комплекс області у 2006 році в основний капітал залучено 96,2 млн. грн. інвестицій, що на 23 відс. більше ніж у 2005 році. У 2007 році проти 2006 року обсяг інвестицій зріс на 50 відсотків.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Станом на 1.10.2008 року у розвиток агропромислового комплексу області залучено 221,7 млн. грн. інвестицій в основний капітал, що у 2 рази більше ніж у відповідному періоді минулого року, та 50,0 млн. дол. США іноземних інвестицій, що у 21,7 рази більше ніж у відповідному періоді минулого року.</w:t>
      </w:r>
    </w:p>
    <w:p w:rsidR="00B159AC" w:rsidRDefault="00B159AC" w:rsidP="00B159AC">
      <w:pPr>
        <w:pStyle w:val="a4"/>
        <w:spacing w:before="0" w:beforeAutospacing="0" w:after="0" w:afterAutospacing="0"/>
        <w:jc w:val="center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У 2008 році, завдяки залученню інвестицій, площу посіву сільськогосподарських культур збільшено на 24,1 тис. га за рахунок земель, які у минулі роки не використовувались.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Збільшено площі вирощування сільськогосподарських культур за інтенсивними технологіями, розширено площі посіву конкурентноспроможних культур, зокрема озимого ріпаку на 50 відс., пшениці – на 20 відс., кукурудзи на зерно – майже у 2 рази.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  <w:lang w:val="ru-RU"/>
        </w:rPr>
        <w:t>У поточному році збільшено потужності по вирощуванню птиці у ТзОВ „Маяк-3” Березнівського району, у ТзОВ „Діброва-Агро” Сарненського району, ТОВ „Ідна” Млинівського району.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  <w:lang w:val="ru-RU"/>
        </w:rPr>
        <w:t>Встановлено 2 доїльні зали у СВК ім. Л.Українки Дубенського району та АФ „Камаз-Агро” Млинівського району.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  <w:lang w:val="ru-RU"/>
        </w:rPr>
        <w:t>Завершується будівництво і встановлення доїльних залів у 3-х підприємствах Гощанського, Дубенського та Здолбунівського районів.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  <w:lang w:val="ru-RU"/>
        </w:rPr>
        <w:t>У сільгосппідприємствах області у поточному році встановлено 9 молокопроводів.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t> </w:t>
      </w:r>
    </w:p>
    <w:p w:rsidR="00B159AC" w:rsidRDefault="00B159AC" w:rsidP="00B159AC">
      <w:pPr>
        <w:pStyle w:val="a4"/>
        <w:shd w:val="clear" w:color="auto" w:fill="FFFFFF"/>
        <w:spacing w:before="0" w:beforeAutospacing="0" w:after="0" w:afterAutospacing="0"/>
        <w:ind w:left="24" w:firstLine="684"/>
      </w:pPr>
      <w:r>
        <w:rPr>
          <w:rFonts w:ascii="Verdana" w:hAnsi="Verdana"/>
          <w:sz w:val="20"/>
          <w:szCs w:val="20"/>
        </w:rPr>
        <w:lastRenderedPageBreak/>
        <w:t xml:space="preserve">У </w:t>
      </w:r>
      <w:r>
        <w:rPr>
          <w:rFonts w:ascii="Verdana" w:hAnsi="Verdana"/>
          <w:b/>
          <w:sz w:val="20"/>
          <w:szCs w:val="20"/>
        </w:rPr>
        <w:t>харчовій і переробній галузі</w:t>
      </w:r>
      <w:r>
        <w:rPr>
          <w:rFonts w:ascii="Verdana" w:hAnsi="Verdana"/>
          <w:sz w:val="20"/>
          <w:szCs w:val="20"/>
        </w:rPr>
        <w:t xml:space="preserve"> завдяки модернізації виробництва за 8 місяців 2008 року обсяг виробленої продукції порівняно з відповідним періодом минулого року зріс на 25 відс.</w:t>
      </w:r>
    </w:p>
    <w:p w:rsidR="00B159AC" w:rsidRDefault="00B159AC" w:rsidP="00B159AC">
      <w:pPr>
        <w:pStyle w:val="a4"/>
        <w:spacing w:before="0" w:beforeAutospacing="0" w:after="0" w:afterAutospacing="0"/>
        <w:ind w:firstLine="708"/>
      </w:pPr>
      <w:r>
        <w:rPr>
          <w:rFonts w:ascii="Verdana" w:hAnsi="Verdana"/>
          <w:sz w:val="20"/>
          <w:szCs w:val="20"/>
        </w:rPr>
        <w:t>На ТзОВ „Радивилівмолоко” в поточному році проводиться будівництво цеху твердих сирів потужністю 2 тонни за добу, який у грудні планується ввести в дію.</w:t>
      </w:r>
    </w:p>
    <w:p w:rsidR="00B159AC" w:rsidRDefault="00B159AC" w:rsidP="00B159AC">
      <w:pPr>
        <w:pStyle w:val="a4"/>
        <w:spacing w:before="0" w:beforeAutospacing="0" w:after="0" w:afterAutospacing="0"/>
        <w:ind w:firstLine="720"/>
      </w:pPr>
      <w:r>
        <w:rPr>
          <w:rFonts w:ascii="Verdana" w:hAnsi="Verdana"/>
          <w:sz w:val="20"/>
          <w:szCs w:val="20"/>
        </w:rPr>
        <w:t>Протягом минулого року проведено реконструкцію основних виробництв на ВАТ „Дубно-молоко”.</w:t>
      </w:r>
    </w:p>
    <w:p w:rsidR="00B159AC" w:rsidRDefault="00B159AC" w:rsidP="00B159AC">
      <w:pPr>
        <w:pStyle w:val="a4"/>
        <w:spacing w:before="0" w:beforeAutospacing="0" w:after="0" w:afterAutospacing="0"/>
        <w:ind w:firstLine="72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72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rPr>
          <w:rFonts w:ascii="Verdana" w:hAnsi="Verdana"/>
          <w:sz w:val="20"/>
          <w:szCs w:val="20"/>
        </w:rPr>
        <w:t>У незайнятих худобою тваринницьких приміщеннях можна утримувати 74 тис. гол. великої рогатої худоби (325 приміщень), 34,4 тис. гол. свиней (42 приміщення) та 510 тис. гол. птиці (16 приміщень).</w:t>
      </w:r>
    </w:p>
    <w:p w:rsidR="00B159AC" w:rsidRDefault="00B159AC" w:rsidP="00B159AC">
      <w:pPr>
        <w:pStyle w:val="a4"/>
        <w:spacing w:before="0" w:beforeAutospacing="0" w:after="0" w:afterAutospacing="0"/>
        <w:ind w:firstLine="360"/>
      </w:pPr>
      <w:r>
        <w:t> </w:t>
      </w:r>
    </w:p>
    <w:p w:rsidR="00B159AC" w:rsidRDefault="00B159AC" w:rsidP="00B159AC">
      <w:pPr>
        <w:pStyle w:val="a4"/>
        <w:spacing w:before="0" w:beforeAutospacing="0" w:after="0" w:afterAutospacing="0"/>
        <w:ind w:firstLine="540"/>
      </w:pPr>
      <w:r>
        <w:rPr>
          <w:rFonts w:ascii="Verdana" w:hAnsi="Verdana"/>
          <w:sz w:val="20"/>
          <w:szCs w:val="20"/>
        </w:rPr>
        <w:t xml:space="preserve">З метою забезпечення в області сприятливого інвестиційного клімату та стимулювання залучення інвестицій в агропромисловий комплекс та соціальну сферу головним управлінням агропромислового розвитку Рівненської облдержадміністрації визначено наступні </w:t>
      </w:r>
      <w:r>
        <w:rPr>
          <w:rFonts w:ascii="Verdana" w:hAnsi="Verdana"/>
          <w:b/>
          <w:sz w:val="20"/>
          <w:szCs w:val="20"/>
        </w:rPr>
        <w:t>стратегічні завдання</w:t>
      </w:r>
      <w:r>
        <w:rPr>
          <w:rFonts w:ascii="Verdana" w:hAnsi="Verdana"/>
          <w:sz w:val="20"/>
          <w:szCs w:val="20"/>
        </w:rPr>
        <w:t>:</w:t>
      </w:r>
    </w:p>
    <w:p w:rsidR="00B159AC" w:rsidRDefault="00B159AC" w:rsidP="00B159AC">
      <w:pPr>
        <w:pStyle w:val="a4"/>
        <w:tabs>
          <w:tab w:val="num" w:pos="-3480"/>
        </w:tabs>
        <w:spacing w:before="0" w:beforeAutospacing="0" w:after="0" w:afterAutospacing="0"/>
        <w:ind w:firstLine="1040"/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t xml:space="preserve"> </w:t>
      </w:r>
      <w:r>
        <w:rPr>
          <w:rFonts w:ascii="Verdana" w:hAnsi="Verdana"/>
          <w:sz w:val="20"/>
          <w:szCs w:val="20"/>
        </w:rPr>
        <w:t>створення умов для залучення інвестицій, здійснення заходів регіонального маркетингу (визначення та популяризація переваг області серед потенційних інвесторів);</w:t>
      </w:r>
    </w:p>
    <w:p w:rsidR="00B159AC" w:rsidRDefault="00B159AC" w:rsidP="00B159AC">
      <w:pPr>
        <w:pStyle w:val="a4"/>
        <w:tabs>
          <w:tab w:val="num" w:pos="-3480"/>
        </w:tabs>
        <w:spacing w:before="0" w:beforeAutospacing="0" w:after="0" w:afterAutospacing="0"/>
        <w:ind w:firstLine="1040"/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Symbol" w:eastAsia="Symbol" w:hAnsi="Symbol" w:cs="Symbol"/>
          <w:sz w:val="20"/>
          <w:szCs w:val="20"/>
        </w:rPr>
        <w:t></w:t>
      </w:r>
      <w:r>
        <w:t xml:space="preserve"> </w:t>
      </w:r>
      <w:r>
        <w:rPr>
          <w:rFonts w:ascii="Verdana" w:hAnsi="Verdana"/>
          <w:sz w:val="20"/>
          <w:szCs w:val="20"/>
        </w:rPr>
        <w:t>запровадження механізмів додаткової мотивації для потенційних інвесторів (лобіювання інтересів інвесторів в органах державної влади, співфінансування проектів з місцевих бюджетів, тощо).</w:t>
      </w:r>
    </w:p>
    <w:bookmarkEnd w:id="1"/>
    <w:p w:rsidR="00B159AC" w:rsidRPr="0071180B" w:rsidRDefault="00B159AC" w:rsidP="007118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59AC" w:rsidRPr="0071180B" w:rsidSect="00517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6" w:rsidRDefault="00594E76" w:rsidP="00594E76">
      <w:pPr>
        <w:spacing w:after="0" w:line="240" w:lineRule="auto"/>
      </w:pPr>
      <w:r>
        <w:separator/>
      </w:r>
    </w:p>
  </w:endnote>
  <w:endnote w:type="continuationSeparator" w:id="0">
    <w:p w:rsidR="00594E76" w:rsidRDefault="00594E76" w:rsidP="0059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6" w:rsidRDefault="00594E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6" w:rsidRDefault="00594E7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6" w:rsidRDefault="00594E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6" w:rsidRDefault="00594E76" w:rsidP="00594E76">
      <w:pPr>
        <w:spacing w:after="0" w:line="240" w:lineRule="auto"/>
      </w:pPr>
      <w:r>
        <w:separator/>
      </w:r>
    </w:p>
  </w:footnote>
  <w:footnote w:type="continuationSeparator" w:id="0">
    <w:p w:rsidR="00594E76" w:rsidRDefault="00594E76" w:rsidP="0059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6" w:rsidRDefault="00594E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6" w:rsidRPr="00594E76" w:rsidRDefault="00594E76" w:rsidP="00594E76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594E76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594E7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6" w:rsidRDefault="00594E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B"/>
    <w:rsid w:val="002C41FA"/>
    <w:rsid w:val="005174ED"/>
    <w:rsid w:val="00594E76"/>
    <w:rsid w:val="005D002B"/>
    <w:rsid w:val="0071180B"/>
    <w:rsid w:val="00B159AC"/>
    <w:rsid w:val="00DA018B"/>
    <w:rsid w:val="00DF5500"/>
    <w:rsid w:val="00E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5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59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94E76"/>
  </w:style>
  <w:style w:type="paragraph" w:styleId="aa">
    <w:name w:val="footer"/>
    <w:basedOn w:val="a"/>
    <w:link w:val="ab"/>
    <w:uiPriority w:val="99"/>
    <w:unhideWhenUsed/>
    <w:rsid w:val="0059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94E76"/>
  </w:style>
  <w:style w:type="character" w:styleId="ac">
    <w:name w:val="Hyperlink"/>
    <w:basedOn w:val="a0"/>
    <w:uiPriority w:val="99"/>
    <w:unhideWhenUsed/>
    <w:rsid w:val="00594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5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59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94E76"/>
  </w:style>
  <w:style w:type="paragraph" w:styleId="aa">
    <w:name w:val="footer"/>
    <w:basedOn w:val="a"/>
    <w:link w:val="ab"/>
    <w:uiPriority w:val="99"/>
    <w:unhideWhenUsed/>
    <w:rsid w:val="0059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94E76"/>
  </w:style>
  <w:style w:type="character" w:styleId="ac">
    <w:name w:val="Hyperlink"/>
    <w:basedOn w:val="a0"/>
    <w:uiPriority w:val="99"/>
    <w:unhideWhenUsed/>
    <w:rsid w:val="00594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6596</Words>
  <Characters>45619</Characters>
  <Application>Microsoft Office Word</Application>
  <DocSecurity>0</DocSecurity>
  <Lines>894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dcterms:created xsi:type="dcterms:W3CDTF">2012-03-19T19:30:00Z</dcterms:created>
  <dcterms:modified xsi:type="dcterms:W3CDTF">2013-02-21T08:34:00Z</dcterms:modified>
</cp:coreProperties>
</file>