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CB" w:rsidRPr="00C11E22" w:rsidRDefault="003158CB" w:rsidP="00C11E22">
      <w:pPr>
        <w:ind w:firstLine="709"/>
        <w:jc w:val="center"/>
        <w:rPr>
          <w:color w:val="000000"/>
          <w:lang w:val="uk-UA"/>
        </w:rPr>
      </w:pPr>
      <w:bookmarkStart w:id="0" w:name="_GoBack"/>
      <w:r w:rsidRPr="00C11E22">
        <w:rPr>
          <w:color w:val="000000"/>
          <w:lang w:val="uk-UA"/>
        </w:rPr>
        <w:t>1.2.4.Опис підприємства та галузі</w:t>
      </w:r>
    </w:p>
    <w:p w:rsidR="003158CB" w:rsidRPr="00C11E22" w:rsidRDefault="003158CB" w:rsidP="00C11E22">
      <w:pPr>
        <w:ind w:firstLine="709"/>
        <w:jc w:val="both"/>
        <w:rPr>
          <w:color w:val="000000"/>
          <w:lang w:val="uk-UA"/>
        </w:rPr>
      </w:pPr>
      <w:r w:rsidRPr="00C11E22">
        <w:rPr>
          <w:color w:val="000000"/>
          <w:lang w:val="uk-UA"/>
        </w:rPr>
        <w:t>ТОВ «Домашній хлібець” працює на місцевому ринку, тому в своїй діяльності керується системою нормативно-правових документів діючих в народному господарстві України, одним з яких є Закон України «Про господарські товариства». Всі господарські операції оформляються документами типових форм, затверджених Міністерством статистики та Міністерством фінансів України.</w:t>
      </w:r>
    </w:p>
    <w:p w:rsidR="003158CB" w:rsidRPr="00C11E22" w:rsidRDefault="003158CB" w:rsidP="00C11E22">
      <w:pPr>
        <w:ind w:firstLine="709"/>
        <w:jc w:val="both"/>
        <w:rPr>
          <w:color w:val="000000"/>
          <w:lang w:val="uk-UA"/>
        </w:rPr>
      </w:pPr>
      <w:r w:rsidRPr="00C11E22">
        <w:rPr>
          <w:color w:val="000000"/>
          <w:lang w:val="uk-UA"/>
        </w:rPr>
        <w:t xml:space="preserve">Товариство з обмеженою відповідальністю “Домашній хлібець” </w:t>
      </w:r>
      <w:r w:rsidRPr="00C11E22">
        <w:rPr>
          <w:color w:val="000000"/>
        </w:rPr>
        <w:t>займа</w:t>
      </w:r>
      <w:r w:rsidRPr="00C11E22">
        <w:rPr>
          <w:color w:val="000000"/>
          <w:lang w:val="uk-UA"/>
        </w:rPr>
        <w:t xml:space="preserve">ється виготовленням хліба «за домашніми рецептами». Для того щоб створити підприємство ми орендуємо старий складський цех і прилеглу до нього дворову територію з подальшим правом викупу. Загальна площа цеху становить 200м. кв., цех буде поділений на три частини: виробниче приміщення, де знаходитиметься все обладнання і проходитиме сам процес виробництва становить 100м. кв., приміщення для готової продукції (зберігатиметься готовий хліб) становить 50м. кв. і приміщення для зберігання муки та інгредієнтів становить 50м. кв., інші матеріали та сировина зберігатимуться поза складом на прилеглій території, яка становить 130м. кв.. На цій території є </w:t>
      </w:r>
      <w:r w:rsidRPr="00C11E22">
        <w:rPr>
          <w:color w:val="000000"/>
        </w:rPr>
        <w:t xml:space="preserve">невелике приміщення (25м. кв.), в якому ми розмістимо адміністративний персонал. Оренда складького цеху, приміщення для адміністративного персоналу і прилеглої території на місяць становитиме </w:t>
      </w:r>
      <w:r w:rsidRPr="00C11E22">
        <w:rPr>
          <w:color w:val="000000"/>
          <w:lang w:val="uk-UA"/>
        </w:rPr>
        <w:t>600</w:t>
      </w:r>
      <w:r w:rsidRPr="00C11E22">
        <w:rPr>
          <w:color w:val="000000"/>
        </w:rPr>
        <w:t>0грн.</w:t>
      </w:r>
      <w:r w:rsidRPr="00C11E22">
        <w:rPr>
          <w:color w:val="000000"/>
          <w:lang w:val="uk-UA"/>
        </w:rPr>
        <w:t xml:space="preserve"> (30 грн. за м.кв. приміщення).</w:t>
      </w:r>
    </w:p>
    <w:p w:rsidR="003158CB" w:rsidRPr="00C11E22" w:rsidRDefault="003158CB" w:rsidP="00C11E22">
      <w:pPr>
        <w:ind w:firstLine="709"/>
        <w:jc w:val="both"/>
        <w:rPr>
          <w:color w:val="000000"/>
          <w:lang w:val="uk-UA"/>
        </w:rPr>
      </w:pPr>
      <w:r w:rsidRPr="00C11E22">
        <w:rPr>
          <w:color w:val="000000"/>
          <w:lang w:val="uk-UA"/>
        </w:rPr>
        <w:t xml:space="preserve"> Місце знаходження підприємства: Україна, 34500, м.Рівне, вул. Біла,</w:t>
      </w:r>
      <w:r w:rsidRPr="00C11E22">
        <w:rPr>
          <w:color w:val="000000"/>
        </w:rPr>
        <w:t xml:space="preserve"> </w:t>
      </w:r>
      <w:r w:rsidRPr="00C11E22">
        <w:rPr>
          <w:color w:val="000000"/>
          <w:lang w:val="uk-UA"/>
        </w:rPr>
        <w:t>39</w:t>
      </w:r>
      <w:r w:rsidRPr="00C11E22">
        <w:rPr>
          <w:color w:val="000000"/>
        </w:rPr>
        <w:t>. Тел: +8(036</w:t>
      </w:r>
      <w:r w:rsidRPr="00C11E22">
        <w:rPr>
          <w:color w:val="000000"/>
          <w:lang w:val="uk-UA"/>
        </w:rPr>
        <w:t>2</w:t>
      </w:r>
      <w:r w:rsidRPr="00C11E22">
        <w:rPr>
          <w:color w:val="000000"/>
        </w:rPr>
        <w:t xml:space="preserve">) </w:t>
      </w:r>
      <w:r w:rsidRPr="00C11E22">
        <w:rPr>
          <w:color w:val="000000"/>
          <w:lang w:val="uk-UA"/>
        </w:rPr>
        <w:t>22-22-10</w:t>
      </w:r>
      <w:r w:rsidRPr="00C11E22">
        <w:rPr>
          <w:color w:val="000000"/>
        </w:rPr>
        <w:t>, факс +8(036</w:t>
      </w:r>
      <w:r w:rsidRPr="00C11E22">
        <w:rPr>
          <w:color w:val="000000"/>
          <w:lang w:val="uk-UA"/>
        </w:rPr>
        <w:t>2</w:t>
      </w:r>
      <w:r w:rsidRPr="00C11E22">
        <w:rPr>
          <w:color w:val="000000"/>
        </w:rPr>
        <w:t xml:space="preserve">) </w:t>
      </w:r>
      <w:r w:rsidRPr="00C11E22">
        <w:rPr>
          <w:color w:val="000000"/>
          <w:lang w:val="uk-UA"/>
        </w:rPr>
        <w:t>22-22-10</w:t>
      </w:r>
      <w:r w:rsidRPr="00C11E22">
        <w:rPr>
          <w:color w:val="000000"/>
        </w:rPr>
        <w:t xml:space="preserve">. </w:t>
      </w:r>
    </w:p>
    <w:p w:rsidR="003158CB" w:rsidRPr="00C11E22" w:rsidRDefault="003158CB" w:rsidP="00C11E22">
      <w:pPr>
        <w:ind w:firstLine="709"/>
        <w:jc w:val="both"/>
        <w:rPr>
          <w:color w:val="000000"/>
        </w:rPr>
      </w:pPr>
      <w:r w:rsidRPr="00C11E22">
        <w:rPr>
          <w:color w:val="000000"/>
        </w:rPr>
        <w:t>Специф</w:t>
      </w:r>
      <w:r w:rsidRPr="00C11E22">
        <w:rPr>
          <w:color w:val="000000"/>
          <w:lang w:val="uk-UA"/>
        </w:rPr>
        <w:t>і</w:t>
      </w:r>
      <w:r w:rsidRPr="00C11E22">
        <w:rPr>
          <w:color w:val="000000"/>
        </w:rPr>
        <w:t>ка хлібопекарського ринку полягає в тому, що він на 99% представлений продукцією вітчизняного виробництва. Національна хлібопекарська галузь, по суті, є натуральним господарством, де виробництво дорівнює споживанню. Із вступом України до СОТ фахівці особливих змін ані у ціновому діапазоні (тобто ціни відповідатимуть рівню інфляції), ані у асортиментному не прогнозують. Отже, «чужий» хліб до нас не поїде.</w:t>
      </w:r>
    </w:p>
    <w:p w:rsidR="003158CB" w:rsidRPr="00C11E22" w:rsidRDefault="003158CB" w:rsidP="00C11E22">
      <w:pPr>
        <w:ind w:firstLine="709"/>
        <w:jc w:val="both"/>
        <w:rPr>
          <w:color w:val="000000"/>
        </w:rPr>
      </w:pPr>
      <w:r w:rsidRPr="00C11E22">
        <w:rPr>
          <w:color w:val="000000"/>
        </w:rPr>
        <w:t xml:space="preserve">Висока конкуренція в галузі сприяє її розвитку. В хлібопекарській галузі України діють близько 1000 хлібозаводів різної потужності. Попит сільського населення в хлібі забезпечується невеликими хлібозаводами споживчої кооперації, приватними пекарнями та населенням самотужки. На сьогодні практично всі, колись державні, хлібозаводи функціонують у формі відкритих акціонерних товариств, які були приватизовані у середині 90-х років минулого століття. </w:t>
      </w:r>
    </w:p>
    <w:p w:rsidR="003158CB" w:rsidRPr="00C11E22" w:rsidRDefault="003158CB" w:rsidP="00C11E22">
      <w:pPr>
        <w:ind w:firstLine="709"/>
        <w:jc w:val="both"/>
        <w:rPr>
          <w:color w:val="000000"/>
        </w:rPr>
      </w:pPr>
      <w:r w:rsidRPr="00C11E22">
        <w:rPr>
          <w:color w:val="000000"/>
          <w:lang w:val="uk-UA"/>
        </w:rPr>
        <w:t>П</w:t>
      </w:r>
      <w:r w:rsidRPr="00C11E22">
        <w:rPr>
          <w:color w:val="000000"/>
        </w:rPr>
        <w:t xml:space="preserve">родовжується вихід з ринку малоперспективних виробників основної групи хлібопекарської продукції. Зазвичай, це заводи продтоварів, харчово-смакові фабрики, непрофільні підприємства, а також малопотужні хлібозаводи і пекарні в регіонах. Вони або припиняють свою роботу, або за умов проведення на них реконструкції, стають часткою більш потужних підприємств чи об'єднань. </w:t>
      </w:r>
    </w:p>
    <w:p w:rsidR="003158CB" w:rsidRPr="00C11E22" w:rsidRDefault="003158CB" w:rsidP="00C11E22">
      <w:pPr>
        <w:ind w:firstLine="709"/>
        <w:jc w:val="both"/>
        <w:rPr>
          <w:color w:val="000000"/>
        </w:rPr>
      </w:pPr>
      <w:r w:rsidRPr="00C11E22">
        <w:rPr>
          <w:color w:val="000000"/>
        </w:rPr>
        <w:t xml:space="preserve">Разом з тим, враховуючи розосередженість населення, дрібні заводи існуватимуть завжди. </w:t>
      </w:r>
    </w:p>
    <w:p w:rsidR="003158CB" w:rsidRPr="00C11E22" w:rsidRDefault="003158CB" w:rsidP="00C11E22">
      <w:pPr>
        <w:ind w:firstLine="709"/>
        <w:jc w:val="both"/>
        <w:rPr>
          <w:color w:val="000000"/>
        </w:rPr>
      </w:pPr>
      <w:r w:rsidRPr="00C11E22">
        <w:rPr>
          <w:color w:val="000000"/>
        </w:rPr>
        <w:t xml:space="preserve">Особливої уваги заслуговують міні-пекарні, що набули популярності на початку 1990-х, коли у пошуках швидких заробітків багато підприємців вкладали гроші в хлібну галузь. При цьому більшість міні-пекарень намагалися конкурувати з хлібозаводами у виробництві масових сортів дешевого («соціального») хліба. </w:t>
      </w:r>
    </w:p>
    <w:p w:rsidR="003158CB" w:rsidRPr="00C11E22" w:rsidRDefault="003158CB" w:rsidP="00C11E22">
      <w:pPr>
        <w:ind w:firstLine="709"/>
        <w:jc w:val="both"/>
        <w:rPr>
          <w:color w:val="000000"/>
        </w:rPr>
      </w:pPr>
      <w:r w:rsidRPr="00C11E22">
        <w:rPr>
          <w:color w:val="000000"/>
        </w:rPr>
        <w:t>Зростатиме конкуренція на ринку з боку  сучасних міні-пекарень, які виготовляють фаст-фуд продукцію і печуть під однойменною торговою маркою продукцію в супермаркетах. Міні-пекарні повного циклу виробляють хліб за стандартною технологією, – замішування тіста, формування виробів, випікання. Другі, неповного циклу, використовують заморожені напівфабрикати, які можна зберігати до трьох місяців. Переваги перших – в можливості контролювати весь виробничий процес, а також формувати асортимент і смакові якості продукції на свій розсуд. Плюси міні-пекарні неповного циклу – широкий асортимент, оперативність, безвідходність виробництва, невеликі площі приміщень і чистота виробництва. Мінус – упереджене ставлення частини споживачів до виробів із заморожених напівфабрикатів.</w:t>
      </w:r>
    </w:p>
    <w:p w:rsidR="003158CB" w:rsidRPr="00264CCC" w:rsidRDefault="003158CB" w:rsidP="00C11E22">
      <w:pPr>
        <w:ind w:firstLine="709"/>
        <w:jc w:val="both"/>
        <w:rPr>
          <w:color w:val="000000"/>
          <w:lang w:val="uk-UA"/>
        </w:rPr>
      </w:pPr>
      <w:r w:rsidRPr="00C11E22">
        <w:rPr>
          <w:color w:val="000000"/>
        </w:rPr>
        <w:lastRenderedPageBreak/>
        <w:t>Серед потужних холдингових компаній варто відзначити ЗАТ «Хліб Києва» – близько 17% вітчизняного ринку виробництва хлібопродуктів, Асоціація «Донбасхліб» – 10%, ЗАТ «Холдинг «</w:t>
      </w:r>
      <w:bookmarkEnd w:id="0"/>
      <w:r w:rsidRPr="00C11E22">
        <w:rPr>
          <w:color w:val="000000"/>
        </w:rPr>
        <w:t>Т і С» – 7%, Холдинг «Хлібні інвестиції» – 6%, ВАТ «Концерн Хлібпром» – 6,5%</w:t>
      </w:r>
      <w:r w:rsidRPr="00C11E22">
        <w:rPr>
          <w:color w:val="000000"/>
          <w:lang w:val="uk-UA"/>
        </w:rPr>
        <w:t xml:space="preserve"> (до якого входить рівненський «Рівнехліб»)</w:t>
      </w:r>
      <w:r w:rsidRPr="00C11E22">
        <w:rPr>
          <w:color w:val="000000"/>
        </w:rPr>
        <w:t xml:space="preserve">, ЗАТ «Укрзернопром» – 4,5%. </w:t>
      </w:r>
      <w:r w:rsidR="00264CCC">
        <w:rPr>
          <w:color w:val="000000"/>
          <w:lang w:val="uk-UA"/>
        </w:rPr>
        <w:t xml:space="preserve">Серед конкурентів міста Рівне слід зазначити </w:t>
      </w:r>
      <w:r w:rsidR="00264CCC" w:rsidRPr="00264CCC">
        <w:rPr>
          <w:color w:val="000000"/>
          <w:lang w:val="uk-UA"/>
        </w:rPr>
        <w:t xml:space="preserve">ВАТ «Поліссяхліб», </w:t>
      </w:r>
      <w:r w:rsidR="00264CCC" w:rsidRPr="00264CCC">
        <w:rPr>
          <w:color w:val="222222"/>
          <w:shd w:val="clear" w:color="auto" w:fill="FFFFFF"/>
        </w:rPr>
        <w:t>«Рум'янець»</w:t>
      </w:r>
      <w:r w:rsidR="00264CCC">
        <w:rPr>
          <w:color w:val="222222"/>
          <w:shd w:val="clear" w:color="auto" w:fill="FFFFFF"/>
          <w:lang w:val="uk-UA"/>
        </w:rPr>
        <w:t xml:space="preserve">, </w:t>
      </w:r>
      <w:r w:rsidR="00264CCC" w:rsidRPr="00264CCC">
        <w:rPr>
          <w:iCs/>
          <w:color w:val="333333"/>
          <w:shd w:val="clear" w:color="auto" w:fill="FFFFFF"/>
        </w:rPr>
        <w:t>ДП «Рівнехліб»</w:t>
      </w:r>
      <w:r w:rsidR="00264CCC">
        <w:rPr>
          <w:iCs/>
          <w:color w:val="333333"/>
          <w:shd w:val="clear" w:color="auto" w:fill="FFFFFF"/>
          <w:lang w:val="uk-UA"/>
        </w:rPr>
        <w:t>.</w:t>
      </w:r>
    </w:p>
    <w:p w:rsidR="00C11E22" w:rsidRPr="00C11E22" w:rsidRDefault="00C11E22" w:rsidP="003158CB">
      <w:pPr>
        <w:spacing w:line="360" w:lineRule="auto"/>
        <w:ind w:firstLine="709"/>
        <w:jc w:val="both"/>
        <w:rPr>
          <w:color w:val="000000"/>
          <w:lang w:val="uk-UA"/>
        </w:rPr>
      </w:pPr>
    </w:p>
    <w:p w:rsidR="003158CB" w:rsidRDefault="00173329" w:rsidP="00173329">
      <w:pPr>
        <w:spacing w:line="360" w:lineRule="auto"/>
        <w:ind w:firstLine="709"/>
        <w:jc w:val="center"/>
        <w:rPr>
          <w:color w:val="000000"/>
          <w:lang w:val="uk-UA"/>
        </w:rPr>
      </w:pPr>
      <w:r w:rsidRPr="00C11E22">
        <w:rPr>
          <w:noProof/>
          <w:color w:val="000000"/>
          <w:lang w:val="uk-UA" w:eastAsia="uk-UA"/>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1E22" w:rsidRPr="00C11E22" w:rsidRDefault="00C11E22" w:rsidP="00C11E22">
      <w:pPr>
        <w:ind w:firstLine="709"/>
        <w:jc w:val="center"/>
        <w:rPr>
          <w:color w:val="000000"/>
          <w:lang w:val="uk-UA"/>
        </w:rPr>
      </w:pPr>
    </w:p>
    <w:p w:rsidR="003158CB" w:rsidRDefault="003158CB" w:rsidP="00C11E22">
      <w:pPr>
        <w:ind w:firstLine="709"/>
        <w:jc w:val="center"/>
        <w:rPr>
          <w:color w:val="000000"/>
          <w:lang w:val="uk-UA"/>
        </w:rPr>
      </w:pPr>
      <w:r w:rsidRPr="00C11E22">
        <w:rPr>
          <w:color w:val="000000"/>
          <w:lang w:val="uk-UA"/>
        </w:rPr>
        <w:t>Рис.1.Обсяги виготовлення хліба в Україні 2003-20</w:t>
      </w:r>
      <w:r w:rsidR="00173329" w:rsidRPr="00C11E22">
        <w:rPr>
          <w:color w:val="000000"/>
          <w:lang w:val="uk-UA"/>
        </w:rPr>
        <w:t>10</w:t>
      </w:r>
      <w:r w:rsidRPr="00C11E22">
        <w:rPr>
          <w:color w:val="000000"/>
          <w:lang w:val="uk-UA"/>
        </w:rPr>
        <w:t>рр. (тис.т)</w:t>
      </w:r>
    </w:p>
    <w:p w:rsidR="00C11E22" w:rsidRPr="00C11E22" w:rsidRDefault="00C11E22" w:rsidP="003158CB">
      <w:pPr>
        <w:spacing w:line="360" w:lineRule="auto"/>
        <w:ind w:firstLine="709"/>
        <w:jc w:val="center"/>
        <w:rPr>
          <w:color w:val="000000"/>
          <w:lang w:val="uk-UA"/>
        </w:rPr>
      </w:pPr>
    </w:p>
    <w:p w:rsidR="00173329" w:rsidRDefault="00173329" w:rsidP="003158CB">
      <w:pPr>
        <w:spacing w:line="360" w:lineRule="auto"/>
        <w:ind w:firstLine="709"/>
        <w:jc w:val="center"/>
        <w:rPr>
          <w:color w:val="000000"/>
          <w:lang w:val="uk-UA"/>
        </w:rPr>
      </w:pPr>
      <w:r w:rsidRPr="00C11E22">
        <w:rPr>
          <w:noProof/>
          <w:color w:val="000000"/>
          <w:lang w:val="uk-UA" w:eastAsia="uk-UA"/>
        </w:rPr>
        <w:drawing>
          <wp:inline distT="0" distB="0" distL="0" distR="0">
            <wp:extent cx="4572000" cy="28003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1E22" w:rsidRPr="00C11E22" w:rsidRDefault="00C11E22" w:rsidP="003158CB">
      <w:pPr>
        <w:spacing w:line="360" w:lineRule="auto"/>
        <w:ind w:firstLine="709"/>
        <w:jc w:val="center"/>
        <w:rPr>
          <w:color w:val="000000"/>
          <w:lang w:val="uk-UA"/>
        </w:rPr>
      </w:pPr>
    </w:p>
    <w:p w:rsidR="00173329" w:rsidRPr="00C11E22" w:rsidRDefault="00173329" w:rsidP="00C11E22">
      <w:pPr>
        <w:ind w:firstLine="709"/>
        <w:jc w:val="center"/>
        <w:rPr>
          <w:color w:val="000000"/>
          <w:lang w:val="uk-UA"/>
        </w:rPr>
      </w:pPr>
      <w:r w:rsidRPr="00C11E22">
        <w:rPr>
          <w:color w:val="000000"/>
          <w:lang w:val="uk-UA"/>
        </w:rPr>
        <w:t xml:space="preserve">Рис. 2. Обсяги виготовлення хліба в Рівненській області </w:t>
      </w:r>
    </w:p>
    <w:p w:rsidR="002E12BE" w:rsidRDefault="00173329" w:rsidP="00C11E22">
      <w:pPr>
        <w:ind w:firstLine="709"/>
        <w:jc w:val="center"/>
        <w:rPr>
          <w:color w:val="000000"/>
          <w:lang w:val="uk-UA"/>
        </w:rPr>
      </w:pPr>
      <w:r w:rsidRPr="00C11E22">
        <w:rPr>
          <w:color w:val="000000"/>
          <w:lang w:val="uk-UA"/>
        </w:rPr>
        <w:t>за 2003-2010рр.(тис.т)</w:t>
      </w:r>
    </w:p>
    <w:p w:rsidR="00C11E22" w:rsidRPr="00C11E22" w:rsidRDefault="00C11E22" w:rsidP="00C11E22">
      <w:pPr>
        <w:spacing w:line="360" w:lineRule="auto"/>
        <w:ind w:firstLine="709"/>
        <w:jc w:val="center"/>
        <w:rPr>
          <w:color w:val="000000"/>
          <w:lang w:val="uk-UA"/>
        </w:rPr>
      </w:pPr>
    </w:p>
    <w:p w:rsidR="002E12BE" w:rsidRDefault="002E12BE" w:rsidP="00C11E22">
      <w:pPr>
        <w:spacing w:line="360" w:lineRule="auto"/>
        <w:ind w:firstLine="709"/>
        <w:jc w:val="center"/>
        <w:rPr>
          <w:color w:val="000000"/>
          <w:lang w:val="uk-UA"/>
        </w:rPr>
      </w:pPr>
      <w:r w:rsidRPr="00C11E22">
        <w:rPr>
          <w:noProof/>
          <w:color w:val="000000"/>
          <w:lang w:val="uk-UA" w:eastAsia="uk-UA"/>
        </w:rPr>
        <w:lastRenderedPageBreak/>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1E22" w:rsidRPr="00C11E22" w:rsidRDefault="00C11E22" w:rsidP="00C11E22">
      <w:pPr>
        <w:spacing w:line="360" w:lineRule="auto"/>
        <w:ind w:firstLine="709"/>
        <w:jc w:val="center"/>
        <w:rPr>
          <w:color w:val="000000"/>
          <w:lang w:val="uk-UA"/>
        </w:rPr>
      </w:pPr>
    </w:p>
    <w:p w:rsidR="002E12BE" w:rsidRDefault="002E12BE" w:rsidP="00C11E22">
      <w:pPr>
        <w:ind w:firstLine="709"/>
        <w:jc w:val="center"/>
        <w:rPr>
          <w:color w:val="000000"/>
          <w:lang w:val="uk-UA"/>
        </w:rPr>
      </w:pPr>
      <w:r w:rsidRPr="00C11E22">
        <w:rPr>
          <w:color w:val="000000"/>
          <w:lang w:val="uk-UA"/>
        </w:rPr>
        <w:t>Рис.3. Динаміка індексу промислової продукції підприємств Рівненської області з виробництва хліба та хлібобулочних виробів за 2001-2010рр.</w:t>
      </w:r>
    </w:p>
    <w:p w:rsidR="00C11E22" w:rsidRPr="00C11E22" w:rsidRDefault="00C11E22" w:rsidP="00C11E22">
      <w:pPr>
        <w:ind w:firstLine="709"/>
        <w:jc w:val="center"/>
        <w:rPr>
          <w:color w:val="000000"/>
          <w:lang w:val="uk-UA"/>
        </w:rPr>
      </w:pPr>
    </w:p>
    <w:p w:rsidR="003158CB" w:rsidRPr="00C11E22" w:rsidRDefault="003158CB" w:rsidP="00C11E22">
      <w:pPr>
        <w:ind w:firstLine="709"/>
        <w:jc w:val="both"/>
        <w:rPr>
          <w:color w:val="000000"/>
          <w:lang w:val="uk-UA"/>
        </w:rPr>
      </w:pPr>
      <w:r w:rsidRPr="00C11E22">
        <w:rPr>
          <w:color w:val="000000"/>
        </w:rPr>
        <w:t xml:space="preserve">Серед основних видів харчових продуктів </w:t>
      </w:r>
      <w:r w:rsidRPr="00C11E22">
        <w:rPr>
          <w:color w:val="000000"/>
          <w:lang w:val="uk-UA"/>
        </w:rPr>
        <w:t xml:space="preserve">у 2009 році </w:t>
      </w:r>
      <w:r w:rsidRPr="00C11E22">
        <w:rPr>
          <w:color w:val="000000"/>
        </w:rPr>
        <w:t>до рівня 2008р. недодано 7–45% хлібобулочних виробів</w:t>
      </w:r>
      <w:r w:rsidRPr="00C11E22">
        <w:rPr>
          <w:color w:val="000000"/>
          <w:lang w:val="uk-UA"/>
        </w:rPr>
        <w:t>.</w:t>
      </w:r>
    </w:p>
    <w:p w:rsidR="003158CB" w:rsidRPr="00C11E22" w:rsidRDefault="003158CB" w:rsidP="00C11E22">
      <w:pPr>
        <w:ind w:firstLine="709"/>
        <w:jc w:val="both"/>
        <w:rPr>
          <w:color w:val="000000"/>
          <w:lang w:val="uk-UA"/>
        </w:rPr>
      </w:pPr>
      <w:r w:rsidRPr="00C11E22">
        <w:rPr>
          <w:color w:val="000000"/>
          <w:lang w:val="uk-UA"/>
        </w:rPr>
        <w:t>Провівши дослідження, було підтвердженно, що найбільшим попитом користується соціальний хліб. Внаслідок цього, ТОВ «Домашній хлібець» має досить непогану перспективу в отриманні прибутку, оскільки в місті немає аналогічних підприємств.</w:t>
      </w:r>
    </w:p>
    <w:p w:rsidR="003158CB" w:rsidRPr="00C11E22" w:rsidRDefault="003158CB" w:rsidP="00C11E22">
      <w:pPr>
        <w:ind w:firstLine="709"/>
        <w:jc w:val="both"/>
        <w:rPr>
          <w:color w:val="000000"/>
          <w:lang w:val="uk-UA"/>
        </w:rPr>
      </w:pPr>
      <w:r w:rsidRPr="00C11E22">
        <w:rPr>
          <w:color w:val="000000"/>
          <w:lang w:val="uk-UA"/>
        </w:rPr>
        <w:t>Для того, щоб створити маркетинговий план необхідно визначити:</w:t>
      </w:r>
    </w:p>
    <w:p w:rsidR="003158CB" w:rsidRPr="00C11E22" w:rsidRDefault="003158CB" w:rsidP="00C11E22">
      <w:pPr>
        <w:numPr>
          <w:ilvl w:val="0"/>
          <w:numId w:val="1"/>
        </w:numPr>
        <w:ind w:left="0" w:firstLine="709"/>
        <w:jc w:val="both"/>
        <w:rPr>
          <w:color w:val="000000"/>
          <w:lang w:val="uk-UA"/>
        </w:rPr>
      </w:pPr>
      <w:r w:rsidRPr="00C11E22">
        <w:rPr>
          <w:color w:val="000000"/>
          <w:lang w:val="uk-UA"/>
        </w:rPr>
        <w:t>Чіткі межі сегменту ринку.</w:t>
      </w:r>
    </w:p>
    <w:p w:rsidR="003158CB" w:rsidRPr="00C11E22" w:rsidRDefault="003158CB" w:rsidP="00C11E22">
      <w:pPr>
        <w:numPr>
          <w:ilvl w:val="0"/>
          <w:numId w:val="1"/>
        </w:numPr>
        <w:ind w:left="0" w:firstLine="709"/>
        <w:jc w:val="both"/>
        <w:rPr>
          <w:color w:val="000000"/>
          <w:lang w:val="uk-UA"/>
        </w:rPr>
      </w:pPr>
      <w:r w:rsidRPr="00C11E22">
        <w:rPr>
          <w:color w:val="000000"/>
          <w:lang w:val="uk-UA"/>
        </w:rPr>
        <w:t>Орієнтований попит на товр чи послугу.</w:t>
      </w:r>
    </w:p>
    <w:p w:rsidR="003158CB" w:rsidRPr="00C11E22" w:rsidRDefault="003158CB" w:rsidP="00C11E22">
      <w:pPr>
        <w:numPr>
          <w:ilvl w:val="0"/>
          <w:numId w:val="1"/>
        </w:numPr>
        <w:ind w:left="0" w:firstLine="709"/>
        <w:jc w:val="both"/>
        <w:rPr>
          <w:color w:val="000000"/>
          <w:lang w:val="uk-UA"/>
        </w:rPr>
      </w:pPr>
      <w:r w:rsidRPr="00C11E22">
        <w:rPr>
          <w:color w:val="000000"/>
          <w:lang w:val="uk-UA"/>
        </w:rPr>
        <w:t>Ціну на товар чи послугу.</w:t>
      </w:r>
    </w:p>
    <w:p w:rsidR="003158CB" w:rsidRPr="00C11E22" w:rsidRDefault="003158CB" w:rsidP="00C11E22">
      <w:pPr>
        <w:numPr>
          <w:ilvl w:val="0"/>
          <w:numId w:val="1"/>
        </w:numPr>
        <w:ind w:left="0" w:firstLine="709"/>
        <w:jc w:val="both"/>
        <w:rPr>
          <w:color w:val="000000"/>
          <w:lang w:val="uk-UA"/>
        </w:rPr>
      </w:pPr>
      <w:r w:rsidRPr="00C11E22">
        <w:rPr>
          <w:color w:val="000000"/>
          <w:lang w:val="uk-UA"/>
        </w:rPr>
        <w:t>Маркетингову стратегію.</w:t>
      </w:r>
    </w:p>
    <w:p w:rsidR="003158CB" w:rsidRPr="00C11E22" w:rsidRDefault="003158CB" w:rsidP="00C11E22">
      <w:pPr>
        <w:numPr>
          <w:ilvl w:val="0"/>
          <w:numId w:val="1"/>
        </w:numPr>
        <w:ind w:left="0" w:firstLine="709"/>
        <w:jc w:val="both"/>
        <w:rPr>
          <w:color w:val="000000"/>
          <w:lang w:val="uk-UA"/>
        </w:rPr>
      </w:pPr>
      <w:r w:rsidRPr="00C11E22">
        <w:rPr>
          <w:color w:val="000000"/>
          <w:lang w:val="uk-UA"/>
        </w:rPr>
        <w:t>Канали розподілу товарів ти стимулювання збуту.</w:t>
      </w:r>
    </w:p>
    <w:p w:rsidR="003158CB" w:rsidRPr="00C11E22" w:rsidRDefault="003158CB" w:rsidP="00C11E22">
      <w:pPr>
        <w:ind w:firstLine="709"/>
        <w:jc w:val="both"/>
        <w:rPr>
          <w:color w:val="000000"/>
          <w:lang w:val="uk-UA"/>
        </w:rPr>
      </w:pPr>
      <w:r w:rsidRPr="00C11E22">
        <w:rPr>
          <w:color w:val="000000"/>
          <w:lang w:val="uk-UA"/>
        </w:rPr>
        <w:t>Сегментом ринку для збуту своєї продукції я обрала мікрорайон міста Рівне – селище Ювілейне і прилеглі вулиці, оскільки дана територія знаходиться поблизу Товариства з обмеженою відповідальністю «Домашній хлібець», що значною мірою скоротить витрати на транспортування хліба. Оцінивши ситуацію в нашому місті, стосовно попиту на хліб, то було визначено, що найбільшим попитом користується «соціальний» хліб і багато хто не може дозволити собі хліб «преміум-класу». Тому наша продукція захопить свою частку у вказаному сегменті ринку.</w:t>
      </w:r>
    </w:p>
    <w:p w:rsidR="003158CB" w:rsidRPr="00C11E22" w:rsidRDefault="003158CB" w:rsidP="00C11E22">
      <w:pPr>
        <w:ind w:firstLine="709"/>
        <w:jc w:val="both"/>
        <w:rPr>
          <w:color w:val="000000"/>
          <w:lang w:val="uk-UA"/>
        </w:rPr>
      </w:pPr>
      <w:r w:rsidRPr="00C11E22">
        <w:rPr>
          <w:color w:val="000000"/>
          <w:lang w:val="uk-UA"/>
        </w:rPr>
        <w:t>Орієнтований попит на продукцію можна визначити за допомого формули:</w:t>
      </w:r>
    </w:p>
    <w:p w:rsidR="003158CB" w:rsidRPr="00C11E22" w:rsidRDefault="003158CB" w:rsidP="00C11E22">
      <w:pPr>
        <w:ind w:firstLine="709"/>
        <w:jc w:val="center"/>
        <w:rPr>
          <w:color w:val="000000"/>
          <w:lang w:val="uk-UA"/>
        </w:rPr>
      </w:pPr>
      <w:r w:rsidRPr="00C11E22">
        <w:rPr>
          <w:color w:val="000000"/>
          <w:lang w:val="en-US"/>
        </w:rPr>
        <w:t>N</w:t>
      </w:r>
      <w:r w:rsidRPr="00C11E22">
        <w:rPr>
          <w:color w:val="000000"/>
        </w:rPr>
        <w:t>=</w:t>
      </w:r>
      <w:r w:rsidRPr="00C11E22">
        <w:rPr>
          <w:color w:val="000000"/>
          <w:lang w:val="en-US"/>
        </w:rPr>
        <w:t>g</w:t>
      </w:r>
      <w:r w:rsidRPr="00C11E22">
        <w:rPr>
          <w:color w:val="000000"/>
        </w:rPr>
        <w:t>*</w:t>
      </w:r>
      <w:r w:rsidRPr="00C11E22">
        <w:rPr>
          <w:color w:val="000000"/>
          <w:lang w:val="en-US"/>
        </w:rPr>
        <w:t>n</w:t>
      </w:r>
      <w:r w:rsidRPr="00C11E22">
        <w:rPr>
          <w:color w:val="000000"/>
        </w:rPr>
        <w:t>*</w:t>
      </w:r>
      <w:r w:rsidRPr="00C11E22">
        <w:rPr>
          <w:color w:val="000000"/>
          <w:lang w:val="en-US"/>
        </w:rPr>
        <w:t>a</w:t>
      </w:r>
      <w:r w:rsidRPr="00C11E22">
        <w:rPr>
          <w:color w:val="000000"/>
          <w:lang w:val="uk-UA"/>
        </w:rPr>
        <w:t>,                   (1.1)</w:t>
      </w:r>
    </w:p>
    <w:p w:rsidR="003158CB" w:rsidRPr="00C11E22" w:rsidRDefault="003158CB" w:rsidP="00C11E22">
      <w:pPr>
        <w:ind w:firstLine="709"/>
        <w:jc w:val="both"/>
        <w:rPr>
          <w:color w:val="000000"/>
          <w:lang w:val="uk-UA"/>
        </w:rPr>
      </w:pPr>
      <w:r w:rsidRPr="00C11E22">
        <w:rPr>
          <w:color w:val="000000"/>
          <w:lang w:val="uk-UA"/>
        </w:rPr>
        <w:t xml:space="preserve">де </w:t>
      </w:r>
      <w:r w:rsidRPr="00C11E22">
        <w:rPr>
          <w:color w:val="000000"/>
          <w:lang w:val="en-US"/>
        </w:rPr>
        <w:t>g</w:t>
      </w:r>
      <w:r w:rsidRPr="00C11E22">
        <w:rPr>
          <w:color w:val="000000"/>
          <w:lang w:val="uk-UA"/>
        </w:rPr>
        <w:t>-річна потреба одного споживача в натуральних одиницях;</w:t>
      </w:r>
    </w:p>
    <w:p w:rsidR="003158CB" w:rsidRPr="00C11E22" w:rsidRDefault="003158CB" w:rsidP="00C11E22">
      <w:pPr>
        <w:ind w:firstLine="709"/>
        <w:jc w:val="both"/>
        <w:rPr>
          <w:color w:val="000000"/>
          <w:lang w:val="uk-UA"/>
        </w:rPr>
      </w:pPr>
      <w:r w:rsidRPr="00C11E22">
        <w:rPr>
          <w:color w:val="000000"/>
          <w:lang w:val="en-US"/>
        </w:rPr>
        <w:t>n</w:t>
      </w:r>
      <w:r w:rsidRPr="00C11E22">
        <w:rPr>
          <w:color w:val="000000"/>
          <w:lang w:val="uk-UA"/>
        </w:rPr>
        <w:t>-чисельність потенційних споживачів;</w:t>
      </w:r>
    </w:p>
    <w:p w:rsidR="003158CB" w:rsidRPr="00C11E22" w:rsidRDefault="003158CB" w:rsidP="00C11E22">
      <w:pPr>
        <w:ind w:firstLine="709"/>
        <w:jc w:val="both"/>
        <w:rPr>
          <w:color w:val="000000"/>
          <w:lang w:val="uk-UA"/>
        </w:rPr>
      </w:pPr>
      <w:r w:rsidRPr="00C11E22">
        <w:rPr>
          <w:color w:val="000000"/>
          <w:lang w:val="en-US"/>
        </w:rPr>
        <w:t>a</w:t>
      </w:r>
      <w:r w:rsidRPr="00C11E22">
        <w:rPr>
          <w:color w:val="000000"/>
          <w:lang w:val="uk-UA"/>
        </w:rPr>
        <w:t>-частка ринку, яку може здобути новостворене підприємство (</w:t>
      </w:r>
      <w:r w:rsidRPr="00C11E22">
        <w:rPr>
          <w:color w:val="000000"/>
          <w:lang w:val="en-US"/>
        </w:rPr>
        <w:t>a</w:t>
      </w:r>
      <w:r w:rsidRPr="00C11E22">
        <w:rPr>
          <w:color w:val="000000"/>
        </w:rPr>
        <w:t>&lt;=0.3).</w:t>
      </w:r>
    </w:p>
    <w:p w:rsidR="003158CB" w:rsidRPr="00C11E22" w:rsidRDefault="003158CB" w:rsidP="00C11E22">
      <w:pPr>
        <w:ind w:firstLine="709"/>
        <w:jc w:val="both"/>
        <w:rPr>
          <w:color w:val="000000"/>
          <w:lang w:val="uk-UA"/>
        </w:rPr>
      </w:pPr>
      <w:r w:rsidRPr="00C11E22">
        <w:rPr>
          <w:color w:val="000000"/>
          <w:lang w:val="uk-UA"/>
        </w:rPr>
        <w:t>Населення мікрорайону селища Ювілейного складає орієнтовно 50 000 чоловік.</w:t>
      </w:r>
    </w:p>
    <w:p w:rsidR="003158CB" w:rsidRPr="00C11E22" w:rsidRDefault="003158CB" w:rsidP="00C11E22">
      <w:pPr>
        <w:ind w:firstLine="709"/>
        <w:jc w:val="both"/>
        <w:rPr>
          <w:color w:val="000000"/>
          <w:lang w:val="uk-UA"/>
        </w:rPr>
      </w:pPr>
      <w:r w:rsidRPr="00C11E22">
        <w:rPr>
          <w:color w:val="000000"/>
          <w:lang w:val="uk-UA"/>
        </w:rPr>
        <w:t xml:space="preserve">В середньому одній людині вистачає однієї буханки хдіба на 3 доби. Отож </w:t>
      </w:r>
      <w:r w:rsidRPr="00C11E22">
        <w:rPr>
          <w:color w:val="000000"/>
          <w:lang w:val="en-US"/>
        </w:rPr>
        <w:t>g</w:t>
      </w:r>
      <w:r w:rsidRPr="00C11E22">
        <w:rPr>
          <w:color w:val="000000"/>
          <w:lang w:val="uk-UA"/>
        </w:rPr>
        <w:t>=365/3≈121,7 буханок хлібу на одного жителя. Припустимо, частка ринку, яку здобуде приватне підприємство становить 0,15. Тоді орієнтований попит на продукцію становитиме:</w:t>
      </w:r>
    </w:p>
    <w:p w:rsidR="003158CB" w:rsidRPr="00C11E22" w:rsidRDefault="003158CB" w:rsidP="00C11E22">
      <w:pPr>
        <w:ind w:firstLine="709"/>
        <w:jc w:val="center"/>
        <w:rPr>
          <w:color w:val="000000"/>
          <w:lang w:val="uk-UA"/>
        </w:rPr>
      </w:pPr>
      <w:r w:rsidRPr="00C11E22">
        <w:rPr>
          <w:color w:val="000000"/>
          <w:lang w:val="en-US"/>
        </w:rPr>
        <w:t>N</w:t>
      </w:r>
      <w:r w:rsidRPr="00C11E22">
        <w:rPr>
          <w:color w:val="000000"/>
          <w:lang w:val="uk-UA"/>
        </w:rPr>
        <w:t>=75000*12,7*0,15≈304800 буханців.</w:t>
      </w:r>
    </w:p>
    <w:p w:rsidR="003158CB" w:rsidRPr="00C11E22" w:rsidRDefault="003158CB" w:rsidP="00C11E22">
      <w:pPr>
        <w:ind w:firstLine="709"/>
        <w:jc w:val="both"/>
        <w:rPr>
          <w:color w:val="000000"/>
          <w:lang w:val="uk-UA"/>
        </w:rPr>
      </w:pPr>
      <w:r w:rsidRPr="00C11E22">
        <w:rPr>
          <w:color w:val="000000"/>
          <w:lang w:val="uk-UA"/>
        </w:rPr>
        <w:t>При визначенні ціни нового товару необхідно враховувати інтереси виробника і споживача.</w:t>
      </w:r>
    </w:p>
    <w:p w:rsidR="003158CB" w:rsidRPr="00C11E22" w:rsidRDefault="003158CB" w:rsidP="00C11E22">
      <w:pPr>
        <w:ind w:firstLine="709"/>
        <w:rPr>
          <w:color w:val="000000"/>
          <w:lang w:val="uk-UA"/>
        </w:rPr>
      </w:pPr>
      <w:r w:rsidRPr="00C11E22">
        <w:rPr>
          <w:color w:val="000000"/>
          <w:lang w:val="uk-UA"/>
        </w:rPr>
        <w:t>Для цього потрібно визначити ціну, прийняту для споживача і ціну, прийнятну  для виробника.</w:t>
      </w:r>
    </w:p>
    <w:p w:rsidR="003158CB" w:rsidRPr="00C11E22" w:rsidRDefault="003158CB" w:rsidP="00C11E22">
      <w:pPr>
        <w:ind w:firstLine="709"/>
        <w:rPr>
          <w:color w:val="000000"/>
          <w:lang w:val="uk-UA"/>
        </w:rPr>
      </w:pPr>
      <w:r w:rsidRPr="00C11E22">
        <w:rPr>
          <w:color w:val="000000"/>
          <w:lang w:val="uk-UA"/>
        </w:rPr>
        <w:t>Ціну, прийнятну для споживача визначають за формулою:</w:t>
      </w:r>
    </w:p>
    <w:p w:rsidR="003158CB" w:rsidRPr="00C11E22" w:rsidRDefault="003158CB" w:rsidP="00C11E22">
      <w:pPr>
        <w:ind w:firstLine="709"/>
        <w:jc w:val="center"/>
        <w:rPr>
          <w:color w:val="000000"/>
          <w:lang w:val="uk-UA"/>
        </w:rPr>
      </w:pPr>
      <w:r w:rsidRPr="00C11E22">
        <w:rPr>
          <w:color w:val="000000"/>
          <w:lang w:val="uk-UA"/>
        </w:rPr>
        <w:lastRenderedPageBreak/>
        <w:t>Ц</w:t>
      </w:r>
      <w:r w:rsidRPr="00C11E22">
        <w:rPr>
          <w:color w:val="000000"/>
          <w:vertAlign w:val="subscript"/>
          <w:lang w:val="uk-UA"/>
        </w:rPr>
        <w:t>с</w:t>
      </w:r>
      <w:r w:rsidRPr="00C11E22">
        <w:rPr>
          <w:color w:val="000000"/>
          <w:lang w:val="uk-UA"/>
        </w:rPr>
        <w:t>=Ц</w:t>
      </w:r>
      <w:r w:rsidRPr="00C11E22">
        <w:rPr>
          <w:color w:val="000000"/>
          <w:vertAlign w:val="subscript"/>
          <w:lang w:val="uk-UA"/>
        </w:rPr>
        <w:t>а</w:t>
      </w:r>
      <w:r w:rsidRPr="00C11E22">
        <w:rPr>
          <w:color w:val="000000"/>
          <w:lang w:val="uk-UA"/>
        </w:rPr>
        <w:t>*</w:t>
      </w:r>
      <w:r w:rsidRPr="00C11E22">
        <w:rPr>
          <w:color w:val="000000"/>
        </w:rPr>
        <w:t>[</w:t>
      </w:r>
      <w:r w:rsidRPr="00C11E22">
        <w:rPr>
          <w:color w:val="000000"/>
          <w:lang w:val="uk-UA"/>
        </w:rPr>
        <w:t>1+(К</w:t>
      </w:r>
      <w:r w:rsidRPr="00C11E22">
        <w:rPr>
          <w:color w:val="000000"/>
          <w:vertAlign w:val="subscript"/>
          <w:lang w:val="uk-UA"/>
        </w:rPr>
        <w:t>я</w:t>
      </w:r>
      <w:r w:rsidRPr="00C11E22">
        <w:rPr>
          <w:color w:val="000000"/>
          <w:lang w:val="uk-UA"/>
        </w:rPr>
        <w:t>-1)*β</w:t>
      </w:r>
      <w:r w:rsidRPr="00C11E22">
        <w:rPr>
          <w:color w:val="000000"/>
        </w:rPr>
        <w:t>]</w:t>
      </w:r>
      <w:r w:rsidRPr="00C11E22">
        <w:rPr>
          <w:color w:val="000000"/>
          <w:lang w:val="uk-UA"/>
        </w:rPr>
        <w:t>,               (1.2)</w:t>
      </w:r>
    </w:p>
    <w:p w:rsidR="003158CB" w:rsidRPr="00C11E22" w:rsidRDefault="003158CB" w:rsidP="00C11E22">
      <w:pPr>
        <w:ind w:firstLine="709"/>
        <w:rPr>
          <w:color w:val="000000"/>
          <w:lang w:val="uk-UA"/>
        </w:rPr>
      </w:pPr>
      <w:r w:rsidRPr="00C11E22">
        <w:rPr>
          <w:color w:val="000000"/>
          <w:lang w:val="uk-UA"/>
        </w:rPr>
        <w:t>де  Ц</w:t>
      </w:r>
      <w:r w:rsidRPr="00C11E22">
        <w:rPr>
          <w:color w:val="000000"/>
          <w:vertAlign w:val="subscript"/>
          <w:lang w:val="uk-UA"/>
        </w:rPr>
        <w:t xml:space="preserve">а </w:t>
      </w:r>
      <w:r w:rsidRPr="00C11E22">
        <w:rPr>
          <w:color w:val="000000"/>
          <w:lang w:val="uk-UA"/>
        </w:rPr>
        <w:t>- ціна товара-аналога;</w:t>
      </w:r>
    </w:p>
    <w:p w:rsidR="003158CB" w:rsidRPr="00C11E22" w:rsidRDefault="003158CB" w:rsidP="00C11E22">
      <w:pPr>
        <w:ind w:firstLine="709"/>
        <w:rPr>
          <w:color w:val="000000"/>
          <w:lang w:val="uk-UA"/>
        </w:rPr>
      </w:pPr>
      <w:r w:rsidRPr="00C11E22">
        <w:rPr>
          <w:color w:val="000000"/>
          <w:lang w:val="uk-UA"/>
        </w:rPr>
        <w:t xml:space="preserve">      К</w:t>
      </w:r>
      <w:r w:rsidRPr="00C11E22">
        <w:rPr>
          <w:color w:val="000000"/>
          <w:vertAlign w:val="subscript"/>
          <w:lang w:val="uk-UA"/>
        </w:rPr>
        <w:t>я</w:t>
      </w:r>
      <w:r w:rsidRPr="00C11E22">
        <w:rPr>
          <w:color w:val="000000"/>
          <w:lang w:val="uk-UA"/>
        </w:rPr>
        <w:t>- коефіціент підвищення якості нового товару (становить не більше 1,2);</w:t>
      </w:r>
    </w:p>
    <w:p w:rsidR="003158CB" w:rsidRPr="00C11E22" w:rsidRDefault="003158CB" w:rsidP="00C11E22">
      <w:pPr>
        <w:ind w:firstLine="709"/>
        <w:rPr>
          <w:color w:val="000000"/>
          <w:lang w:val="uk-UA"/>
        </w:rPr>
      </w:pPr>
      <w:r w:rsidRPr="00C11E22">
        <w:rPr>
          <w:color w:val="000000"/>
          <w:lang w:val="uk-UA"/>
        </w:rPr>
        <w:t xml:space="preserve">      β – коефіціент винагороди за якість ( знаходиться в межах 0,5-0,7).</w:t>
      </w:r>
    </w:p>
    <w:p w:rsidR="003158CB" w:rsidRPr="00C11E22" w:rsidRDefault="003158CB" w:rsidP="00C11E22">
      <w:pPr>
        <w:ind w:firstLine="709"/>
        <w:jc w:val="center"/>
        <w:rPr>
          <w:color w:val="000000"/>
          <w:lang w:val="uk-UA"/>
        </w:rPr>
      </w:pPr>
      <w:r w:rsidRPr="00C11E22">
        <w:rPr>
          <w:color w:val="000000"/>
          <w:lang w:val="uk-UA"/>
        </w:rPr>
        <w:t>Визначення коефіціента підвищення якості нового товару</w:t>
      </w:r>
    </w:p>
    <w:p w:rsidR="003158CB" w:rsidRPr="00C11E22" w:rsidRDefault="003158CB" w:rsidP="00C11E22">
      <w:pPr>
        <w:ind w:firstLine="709"/>
        <w:jc w:val="center"/>
        <w:rPr>
          <w:color w:val="000000"/>
          <w:lang w:val="uk-UA"/>
        </w:rPr>
      </w:pPr>
    </w:p>
    <w:p w:rsidR="003158CB" w:rsidRPr="00C11E22" w:rsidRDefault="003158CB" w:rsidP="00C11E22">
      <w:pPr>
        <w:ind w:firstLine="709"/>
        <w:jc w:val="right"/>
        <w:rPr>
          <w:color w:val="000000"/>
          <w:lang w:val="uk-UA"/>
        </w:rPr>
      </w:pPr>
      <w:r w:rsidRPr="00C11E22">
        <w:rPr>
          <w:color w:val="000000"/>
          <w:lang w:val="uk-UA"/>
        </w:rPr>
        <w:t>Таблиця 1</w:t>
      </w:r>
    </w:p>
    <w:tbl>
      <w:tblPr>
        <w:tblStyle w:val="a3"/>
        <w:tblW w:w="0" w:type="auto"/>
        <w:tblLook w:val="01E0" w:firstRow="1" w:lastRow="1" w:firstColumn="1" w:lastColumn="1" w:noHBand="0" w:noVBand="0"/>
      </w:tblPr>
      <w:tblGrid>
        <w:gridCol w:w="396"/>
        <w:gridCol w:w="3594"/>
        <w:gridCol w:w="1260"/>
        <w:gridCol w:w="1260"/>
        <w:gridCol w:w="900"/>
        <w:gridCol w:w="900"/>
        <w:gridCol w:w="1080"/>
      </w:tblGrid>
      <w:tr w:rsidR="003158CB" w:rsidRPr="00C11E22" w:rsidTr="00A30DEB">
        <w:tc>
          <w:tcPr>
            <w:tcW w:w="0" w:type="auto"/>
            <w:vMerge w:val="restart"/>
            <w:vAlign w:val="center"/>
          </w:tcPr>
          <w:p w:rsidR="003158CB" w:rsidRPr="00C11E22" w:rsidRDefault="003158CB" w:rsidP="00C11E22">
            <w:pPr>
              <w:jc w:val="center"/>
              <w:rPr>
                <w:color w:val="000000"/>
                <w:lang w:val="en-US"/>
              </w:rPr>
            </w:pPr>
            <w:r w:rsidRPr="00C11E22">
              <w:rPr>
                <w:color w:val="000000"/>
                <w:lang w:val="en-US"/>
              </w:rPr>
              <w:t>j</w:t>
            </w:r>
          </w:p>
        </w:tc>
        <w:tc>
          <w:tcPr>
            <w:tcW w:w="3594" w:type="dxa"/>
            <w:vMerge w:val="restart"/>
            <w:vAlign w:val="center"/>
          </w:tcPr>
          <w:p w:rsidR="003158CB" w:rsidRPr="00C11E22" w:rsidRDefault="003158CB" w:rsidP="00C11E22">
            <w:pPr>
              <w:jc w:val="center"/>
              <w:rPr>
                <w:color w:val="000000"/>
                <w:lang w:val="uk-UA"/>
              </w:rPr>
            </w:pPr>
            <w:r w:rsidRPr="00C11E22">
              <w:rPr>
                <w:color w:val="000000"/>
                <w:lang w:val="uk-UA"/>
              </w:rPr>
              <w:t>Назва показника</w:t>
            </w:r>
          </w:p>
          <w:p w:rsidR="003158CB" w:rsidRPr="00C11E22" w:rsidRDefault="003158CB" w:rsidP="00C11E22">
            <w:pPr>
              <w:jc w:val="center"/>
              <w:rPr>
                <w:color w:val="000000"/>
                <w:lang w:val="uk-UA"/>
              </w:rPr>
            </w:pPr>
            <w:r w:rsidRPr="00C11E22">
              <w:rPr>
                <w:color w:val="000000"/>
                <w:lang w:val="uk-UA"/>
              </w:rPr>
              <w:t>споживчих властивостей</w:t>
            </w:r>
          </w:p>
        </w:tc>
        <w:tc>
          <w:tcPr>
            <w:tcW w:w="2520" w:type="dxa"/>
            <w:gridSpan w:val="2"/>
            <w:vAlign w:val="center"/>
          </w:tcPr>
          <w:p w:rsidR="003158CB" w:rsidRPr="00C11E22" w:rsidRDefault="003158CB" w:rsidP="00C11E22">
            <w:pPr>
              <w:jc w:val="center"/>
              <w:rPr>
                <w:color w:val="000000"/>
                <w:lang w:val="uk-UA"/>
              </w:rPr>
            </w:pPr>
            <w:r w:rsidRPr="00C11E22">
              <w:rPr>
                <w:color w:val="000000"/>
                <w:lang w:val="uk-UA"/>
              </w:rPr>
              <w:t>Значення показника</w:t>
            </w:r>
          </w:p>
          <w:p w:rsidR="003158CB" w:rsidRPr="00C11E22" w:rsidRDefault="003158CB" w:rsidP="00C11E22">
            <w:pPr>
              <w:jc w:val="center"/>
              <w:rPr>
                <w:color w:val="000000"/>
                <w:lang w:val="uk-UA"/>
              </w:rPr>
            </w:pPr>
            <w:r w:rsidRPr="00C11E22">
              <w:rPr>
                <w:color w:val="000000"/>
                <w:lang w:val="uk-UA"/>
              </w:rPr>
              <w:t>для товару</w:t>
            </w:r>
          </w:p>
        </w:tc>
        <w:tc>
          <w:tcPr>
            <w:tcW w:w="900" w:type="dxa"/>
            <w:vMerge w:val="restart"/>
            <w:vAlign w:val="center"/>
          </w:tcPr>
          <w:p w:rsidR="003158CB" w:rsidRPr="00C11E22" w:rsidRDefault="003158CB" w:rsidP="00C11E22">
            <w:pPr>
              <w:jc w:val="center"/>
              <w:rPr>
                <w:color w:val="000000"/>
                <w:lang w:val="en-US"/>
              </w:rPr>
            </w:pPr>
            <w:r w:rsidRPr="00C11E22">
              <w:rPr>
                <w:color w:val="000000"/>
                <w:lang w:val="en-US"/>
              </w:rPr>
              <w:t>k</w:t>
            </w:r>
            <w:r w:rsidRPr="00C11E22">
              <w:rPr>
                <w:color w:val="000000"/>
                <w:vertAlign w:val="subscript"/>
                <w:lang w:val="en-US"/>
              </w:rPr>
              <w:t>j</w:t>
            </w:r>
          </w:p>
        </w:tc>
        <w:tc>
          <w:tcPr>
            <w:tcW w:w="900" w:type="dxa"/>
            <w:vMerge w:val="restart"/>
            <w:vAlign w:val="center"/>
          </w:tcPr>
          <w:p w:rsidR="003158CB" w:rsidRPr="00C11E22" w:rsidRDefault="003158CB" w:rsidP="00C11E22">
            <w:pPr>
              <w:jc w:val="center"/>
              <w:rPr>
                <w:color w:val="000000"/>
                <w:vertAlign w:val="subscript"/>
                <w:lang w:val="en-US"/>
              </w:rPr>
            </w:pPr>
            <w:r w:rsidRPr="00C11E22">
              <w:rPr>
                <w:color w:val="000000"/>
                <w:lang w:val="uk-UA"/>
              </w:rPr>
              <w:t>γ</w:t>
            </w:r>
            <w:r w:rsidRPr="00C11E22">
              <w:rPr>
                <w:color w:val="000000"/>
                <w:vertAlign w:val="subscript"/>
                <w:lang w:val="en-US"/>
              </w:rPr>
              <w:t>j</w:t>
            </w:r>
          </w:p>
        </w:tc>
        <w:tc>
          <w:tcPr>
            <w:tcW w:w="1080" w:type="dxa"/>
            <w:vMerge w:val="restart"/>
            <w:vAlign w:val="center"/>
          </w:tcPr>
          <w:p w:rsidR="003158CB" w:rsidRPr="00C11E22" w:rsidRDefault="003158CB" w:rsidP="00C11E22">
            <w:pPr>
              <w:jc w:val="center"/>
              <w:rPr>
                <w:color w:val="000000"/>
                <w:lang w:val="en-US"/>
              </w:rPr>
            </w:pPr>
            <w:r w:rsidRPr="00C11E22">
              <w:rPr>
                <w:color w:val="000000"/>
                <w:lang w:val="en-US"/>
              </w:rPr>
              <w:t>k</w:t>
            </w:r>
            <w:r w:rsidRPr="00C11E22">
              <w:rPr>
                <w:color w:val="000000"/>
                <w:vertAlign w:val="subscript"/>
                <w:lang w:val="en-US"/>
              </w:rPr>
              <w:t>j*</w:t>
            </w:r>
            <w:r w:rsidRPr="00C11E22">
              <w:rPr>
                <w:color w:val="000000"/>
                <w:lang w:val="uk-UA"/>
              </w:rPr>
              <w:t xml:space="preserve"> γ</w:t>
            </w:r>
            <w:r w:rsidRPr="00C11E22">
              <w:rPr>
                <w:color w:val="000000"/>
                <w:vertAlign w:val="subscript"/>
                <w:lang w:val="en-US"/>
              </w:rPr>
              <w:t>j</w:t>
            </w:r>
          </w:p>
        </w:tc>
      </w:tr>
      <w:tr w:rsidR="003158CB" w:rsidRPr="00C11E22" w:rsidTr="00A30DEB">
        <w:tc>
          <w:tcPr>
            <w:tcW w:w="0" w:type="auto"/>
            <w:vMerge/>
          </w:tcPr>
          <w:p w:rsidR="003158CB" w:rsidRPr="00C11E22" w:rsidRDefault="003158CB" w:rsidP="00C11E22">
            <w:pPr>
              <w:jc w:val="center"/>
              <w:rPr>
                <w:color w:val="000000"/>
                <w:lang w:val="uk-UA"/>
              </w:rPr>
            </w:pPr>
          </w:p>
        </w:tc>
        <w:tc>
          <w:tcPr>
            <w:tcW w:w="3594" w:type="dxa"/>
            <w:vMerge/>
          </w:tcPr>
          <w:p w:rsidR="003158CB" w:rsidRPr="00C11E22" w:rsidRDefault="003158CB" w:rsidP="00C11E22">
            <w:pPr>
              <w:jc w:val="center"/>
              <w:rPr>
                <w:color w:val="000000"/>
                <w:lang w:val="uk-UA"/>
              </w:rPr>
            </w:pPr>
          </w:p>
        </w:tc>
        <w:tc>
          <w:tcPr>
            <w:tcW w:w="1260" w:type="dxa"/>
            <w:vAlign w:val="center"/>
          </w:tcPr>
          <w:p w:rsidR="003158CB" w:rsidRPr="00C11E22" w:rsidRDefault="003158CB" w:rsidP="00C11E22">
            <w:pPr>
              <w:jc w:val="center"/>
              <w:rPr>
                <w:color w:val="000000"/>
                <w:lang w:val="uk-UA"/>
              </w:rPr>
            </w:pPr>
            <w:r w:rsidRPr="00C11E22">
              <w:rPr>
                <w:color w:val="000000"/>
                <w:lang w:val="uk-UA"/>
              </w:rPr>
              <w:t>нового</w:t>
            </w:r>
          </w:p>
        </w:tc>
        <w:tc>
          <w:tcPr>
            <w:tcW w:w="1260" w:type="dxa"/>
            <w:vAlign w:val="center"/>
          </w:tcPr>
          <w:p w:rsidR="003158CB" w:rsidRPr="00C11E22" w:rsidRDefault="003158CB" w:rsidP="00C11E22">
            <w:pPr>
              <w:jc w:val="center"/>
              <w:rPr>
                <w:color w:val="000000"/>
                <w:lang w:val="uk-UA"/>
              </w:rPr>
            </w:pPr>
            <w:r w:rsidRPr="00C11E22">
              <w:rPr>
                <w:color w:val="000000"/>
                <w:lang w:val="uk-UA"/>
              </w:rPr>
              <w:t>старого</w:t>
            </w:r>
          </w:p>
        </w:tc>
        <w:tc>
          <w:tcPr>
            <w:tcW w:w="900" w:type="dxa"/>
            <w:vMerge/>
          </w:tcPr>
          <w:p w:rsidR="003158CB" w:rsidRPr="00C11E22" w:rsidRDefault="003158CB" w:rsidP="00C11E22">
            <w:pPr>
              <w:jc w:val="center"/>
              <w:rPr>
                <w:color w:val="000000"/>
                <w:lang w:val="uk-UA"/>
              </w:rPr>
            </w:pPr>
          </w:p>
        </w:tc>
        <w:tc>
          <w:tcPr>
            <w:tcW w:w="900" w:type="dxa"/>
            <w:vMerge/>
          </w:tcPr>
          <w:p w:rsidR="003158CB" w:rsidRPr="00C11E22" w:rsidRDefault="003158CB" w:rsidP="00C11E22">
            <w:pPr>
              <w:jc w:val="center"/>
              <w:rPr>
                <w:color w:val="000000"/>
                <w:lang w:val="uk-UA"/>
              </w:rPr>
            </w:pPr>
          </w:p>
        </w:tc>
        <w:tc>
          <w:tcPr>
            <w:tcW w:w="1080" w:type="dxa"/>
            <w:vMerge/>
          </w:tcPr>
          <w:p w:rsidR="003158CB" w:rsidRPr="00C11E22" w:rsidRDefault="003158CB" w:rsidP="00C11E22">
            <w:pPr>
              <w:jc w:val="center"/>
              <w:rPr>
                <w:color w:val="000000"/>
                <w:lang w:val="uk-UA"/>
              </w:rPr>
            </w:pP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1.</w:t>
            </w:r>
          </w:p>
        </w:tc>
        <w:tc>
          <w:tcPr>
            <w:tcW w:w="3594" w:type="dxa"/>
          </w:tcPr>
          <w:p w:rsidR="003158CB" w:rsidRPr="00C11E22" w:rsidRDefault="003158CB" w:rsidP="00C11E22">
            <w:pPr>
              <w:rPr>
                <w:color w:val="000000"/>
                <w:lang w:val="uk-UA"/>
              </w:rPr>
            </w:pPr>
            <w:r w:rsidRPr="00C11E22">
              <w:rPr>
                <w:color w:val="000000"/>
                <w:lang w:val="uk-UA"/>
              </w:rPr>
              <w:t>Колір хліба, бали</w:t>
            </w:r>
          </w:p>
        </w:tc>
        <w:tc>
          <w:tcPr>
            <w:tcW w:w="1260" w:type="dxa"/>
          </w:tcPr>
          <w:p w:rsidR="003158CB" w:rsidRPr="00C11E22" w:rsidRDefault="003158CB" w:rsidP="00C11E22">
            <w:pPr>
              <w:jc w:val="center"/>
              <w:rPr>
                <w:color w:val="000000"/>
                <w:lang w:val="uk-UA"/>
              </w:rPr>
            </w:pPr>
            <w:r w:rsidRPr="00C11E22">
              <w:rPr>
                <w:color w:val="000000"/>
                <w:lang w:val="uk-UA"/>
              </w:rPr>
              <w:t>4,5</w:t>
            </w:r>
          </w:p>
        </w:tc>
        <w:tc>
          <w:tcPr>
            <w:tcW w:w="1260" w:type="dxa"/>
          </w:tcPr>
          <w:p w:rsidR="003158CB" w:rsidRPr="00C11E22" w:rsidRDefault="003158CB" w:rsidP="00C11E22">
            <w:pPr>
              <w:jc w:val="center"/>
              <w:rPr>
                <w:color w:val="000000"/>
                <w:lang w:val="uk-UA"/>
              </w:rPr>
            </w:pPr>
            <w:r w:rsidRPr="00C11E22">
              <w:rPr>
                <w:color w:val="000000"/>
                <w:lang w:val="uk-UA"/>
              </w:rPr>
              <w:t>4</w:t>
            </w:r>
          </w:p>
        </w:tc>
        <w:tc>
          <w:tcPr>
            <w:tcW w:w="900" w:type="dxa"/>
          </w:tcPr>
          <w:p w:rsidR="003158CB" w:rsidRPr="00C11E22" w:rsidRDefault="003158CB" w:rsidP="00C11E22">
            <w:pPr>
              <w:jc w:val="center"/>
              <w:rPr>
                <w:color w:val="000000"/>
                <w:lang w:val="uk-UA"/>
              </w:rPr>
            </w:pPr>
            <w:r w:rsidRPr="00C11E22">
              <w:rPr>
                <w:color w:val="000000"/>
                <w:lang w:val="uk-UA"/>
              </w:rPr>
              <w:t>1,125</w:t>
            </w:r>
          </w:p>
        </w:tc>
        <w:tc>
          <w:tcPr>
            <w:tcW w:w="900" w:type="dxa"/>
          </w:tcPr>
          <w:p w:rsidR="003158CB" w:rsidRPr="00C11E22" w:rsidRDefault="003158CB" w:rsidP="00C11E22">
            <w:pPr>
              <w:jc w:val="center"/>
              <w:rPr>
                <w:color w:val="000000"/>
                <w:lang w:val="uk-UA"/>
              </w:rPr>
            </w:pPr>
            <w:r w:rsidRPr="00C11E22">
              <w:rPr>
                <w:color w:val="000000"/>
                <w:lang w:val="uk-UA"/>
              </w:rPr>
              <w:t>0,1</w:t>
            </w:r>
          </w:p>
        </w:tc>
        <w:tc>
          <w:tcPr>
            <w:tcW w:w="1080" w:type="dxa"/>
          </w:tcPr>
          <w:p w:rsidR="003158CB" w:rsidRPr="00C11E22" w:rsidRDefault="003158CB" w:rsidP="00C11E22">
            <w:pPr>
              <w:jc w:val="center"/>
              <w:rPr>
                <w:color w:val="000000"/>
                <w:lang w:val="uk-UA"/>
              </w:rPr>
            </w:pPr>
            <w:r w:rsidRPr="00C11E22">
              <w:rPr>
                <w:color w:val="000000"/>
                <w:lang w:val="uk-UA"/>
              </w:rPr>
              <w:t>0,1125</w:t>
            </w: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2.</w:t>
            </w:r>
          </w:p>
        </w:tc>
        <w:tc>
          <w:tcPr>
            <w:tcW w:w="3594" w:type="dxa"/>
          </w:tcPr>
          <w:p w:rsidR="003158CB" w:rsidRPr="00C11E22" w:rsidRDefault="003158CB" w:rsidP="00C11E22">
            <w:pPr>
              <w:rPr>
                <w:color w:val="000000"/>
                <w:lang w:val="uk-UA"/>
              </w:rPr>
            </w:pPr>
            <w:r w:rsidRPr="00C11E22">
              <w:rPr>
                <w:color w:val="000000"/>
                <w:lang w:val="uk-UA"/>
              </w:rPr>
              <w:t>Форма, бали</w:t>
            </w:r>
          </w:p>
        </w:tc>
        <w:tc>
          <w:tcPr>
            <w:tcW w:w="1260" w:type="dxa"/>
          </w:tcPr>
          <w:p w:rsidR="003158CB" w:rsidRPr="00C11E22" w:rsidRDefault="003158CB" w:rsidP="00C11E22">
            <w:pPr>
              <w:jc w:val="center"/>
              <w:rPr>
                <w:color w:val="000000"/>
                <w:lang w:val="uk-UA"/>
              </w:rPr>
            </w:pPr>
            <w:r w:rsidRPr="00C11E22">
              <w:rPr>
                <w:color w:val="000000"/>
                <w:lang w:val="uk-UA"/>
              </w:rPr>
              <w:t>4,75</w:t>
            </w:r>
          </w:p>
        </w:tc>
        <w:tc>
          <w:tcPr>
            <w:tcW w:w="1260" w:type="dxa"/>
          </w:tcPr>
          <w:p w:rsidR="003158CB" w:rsidRPr="00C11E22" w:rsidRDefault="003158CB" w:rsidP="00C11E22">
            <w:pPr>
              <w:jc w:val="center"/>
              <w:rPr>
                <w:color w:val="000000"/>
                <w:lang w:val="uk-UA"/>
              </w:rPr>
            </w:pPr>
            <w:r w:rsidRPr="00C11E22">
              <w:rPr>
                <w:color w:val="000000"/>
                <w:lang w:val="uk-UA"/>
              </w:rPr>
              <w:t>4,5</w:t>
            </w:r>
          </w:p>
        </w:tc>
        <w:tc>
          <w:tcPr>
            <w:tcW w:w="900" w:type="dxa"/>
          </w:tcPr>
          <w:p w:rsidR="003158CB" w:rsidRPr="00C11E22" w:rsidRDefault="003158CB" w:rsidP="00C11E22">
            <w:pPr>
              <w:jc w:val="center"/>
              <w:rPr>
                <w:color w:val="000000"/>
                <w:lang w:val="uk-UA"/>
              </w:rPr>
            </w:pPr>
            <w:r w:rsidRPr="00C11E22">
              <w:rPr>
                <w:color w:val="000000"/>
                <w:lang w:val="uk-UA"/>
              </w:rPr>
              <w:t>1,06</w:t>
            </w:r>
          </w:p>
        </w:tc>
        <w:tc>
          <w:tcPr>
            <w:tcW w:w="900" w:type="dxa"/>
          </w:tcPr>
          <w:p w:rsidR="003158CB" w:rsidRPr="00C11E22" w:rsidRDefault="003158CB" w:rsidP="00C11E22">
            <w:pPr>
              <w:jc w:val="center"/>
              <w:rPr>
                <w:color w:val="000000"/>
                <w:lang w:val="uk-UA"/>
              </w:rPr>
            </w:pPr>
            <w:r w:rsidRPr="00C11E22">
              <w:rPr>
                <w:color w:val="000000"/>
                <w:lang w:val="uk-UA"/>
              </w:rPr>
              <w:t>0,05</w:t>
            </w:r>
          </w:p>
        </w:tc>
        <w:tc>
          <w:tcPr>
            <w:tcW w:w="1080" w:type="dxa"/>
          </w:tcPr>
          <w:p w:rsidR="003158CB" w:rsidRPr="00C11E22" w:rsidRDefault="003158CB" w:rsidP="00C11E22">
            <w:pPr>
              <w:jc w:val="center"/>
              <w:rPr>
                <w:color w:val="000000"/>
                <w:lang w:val="uk-UA"/>
              </w:rPr>
            </w:pPr>
            <w:r w:rsidRPr="00C11E22">
              <w:rPr>
                <w:color w:val="000000"/>
                <w:lang w:val="uk-UA"/>
              </w:rPr>
              <w:t>0,053</w:t>
            </w: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3.</w:t>
            </w:r>
          </w:p>
        </w:tc>
        <w:tc>
          <w:tcPr>
            <w:tcW w:w="3594" w:type="dxa"/>
          </w:tcPr>
          <w:p w:rsidR="003158CB" w:rsidRPr="00C11E22" w:rsidRDefault="003158CB" w:rsidP="00C11E22">
            <w:pPr>
              <w:rPr>
                <w:color w:val="000000"/>
                <w:lang w:val="uk-UA"/>
              </w:rPr>
            </w:pPr>
            <w:r w:rsidRPr="00C11E22">
              <w:rPr>
                <w:color w:val="000000"/>
                <w:lang w:val="uk-UA"/>
              </w:rPr>
              <w:t>Упаковка, бали</w:t>
            </w:r>
          </w:p>
        </w:tc>
        <w:tc>
          <w:tcPr>
            <w:tcW w:w="1260" w:type="dxa"/>
          </w:tcPr>
          <w:p w:rsidR="003158CB" w:rsidRPr="00C11E22" w:rsidRDefault="003158CB" w:rsidP="00C11E22">
            <w:pPr>
              <w:jc w:val="center"/>
              <w:rPr>
                <w:color w:val="000000"/>
                <w:lang w:val="uk-UA"/>
              </w:rPr>
            </w:pPr>
            <w:r w:rsidRPr="00C11E22">
              <w:rPr>
                <w:color w:val="000000"/>
                <w:lang w:val="uk-UA"/>
              </w:rPr>
              <w:t>3,25</w:t>
            </w:r>
          </w:p>
        </w:tc>
        <w:tc>
          <w:tcPr>
            <w:tcW w:w="1260" w:type="dxa"/>
          </w:tcPr>
          <w:p w:rsidR="003158CB" w:rsidRPr="00C11E22" w:rsidRDefault="003158CB" w:rsidP="00C11E22">
            <w:pPr>
              <w:jc w:val="center"/>
              <w:rPr>
                <w:color w:val="000000"/>
                <w:lang w:val="uk-UA"/>
              </w:rPr>
            </w:pPr>
            <w:r w:rsidRPr="00C11E22">
              <w:rPr>
                <w:color w:val="000000"/>
                <w:lang w:val="uk-UA"/>
              </w:rPr>
              <w:t>3</w:t>
            </w:r>
          </w:p>
        </w:tc>
        <w:tc>
          <w:tcPr>
            <w:tcW w:w="900" w:type="dxa"/>
          </w:tcPr>
          <w:p w:rsidR="003158CB" w:rsidRPr="00C11E22" w:rsidRDefault="003158CB" w:rsidP="00C11E22">
            <w:pPr>
              <w:jc w:val="center"/>
              <w:rPr>
                <w:color w:val="000000"/>
                <w:lang w:val="uk-UA"/>
              </w:rPr>
            </w:pPr>
            <w:r w:rsidRPr="00C11E22">
              <w:rPr>
                <w:color w:val="000000"/>
                <w:lang w:val="uk-UA"/>
              </w:rPr>
              <w:t>1,08</w:t>
            </w:r>
          </w:p>
        </w:tc>
        <w:tc>
          <w:tcPr>
            <w:tcW w:w="900" w:type="dxa"/>
          </w:tcPr>
          <w:p w:rsidR="003158CB" w:rsidRPr="00C11E22" w:rsidRDefault="003158CB" w:rsidP="00C11E22">
            <w:pPr>
              <w:jc w:val="center"/>
              <w:rPr>
                <w:color w:val="000000"/>
                <w:lang w:val="uk-UA"/>
              </w:rPr>
            </w:pPr>
            <w:r w:rsidRPr="00C11E22">
              <w:rPr>
                <w:color w:val="000000"/>
                <w:lang w:val="uk-UA"/>
              </w:rPr>
              <w:t>0,05</w:t>
            </w:r>
          </w:p>
        </w:tc>
        <w:tc>
          <w:tcPr>
            <w:tcW w:w="1080" w:type="dxa"/>
          </w:tcPr>
          <w:p w:rsidR="003158CB" w:rsidRPr="00C11E22" w:rsidRDefault="003158CB" w:rsidP="00C11E22">
            <w:pPr>
              <w:jc w:val="center"/>
              <w:rPr>
                <w:color w:val="000000"/>
                <w:lang w:val="uk-UA"/>
              </w:rPr>
            </w:pPr>
            <w:r w:rsidRPr="00C11E22">
              <w:rPr>
                <w:color w:val="000000"/>
                <w:lang w:val="uk-UA"/>
              </w:rPr>
              <w:t>0,054</w:t>
            </w: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4.</w:t>
            </w:r>
          </w:p>
        </w:tc>
        <w:tc>
          <w:tcPr>
            <w:tcW w:w="3594" w:type="dxa"/>
          </w:tcPr>
          <w:p w:rsidR="003158CB" w:rsidRPr="00C11E22" w:rsidRDefault="003158CB" w:rsidP="00C11E22">
            <w:pPr>
              <w:rPr>
                <w:color w:val="000000"/>
                <w:lang w:val="uk-UA"/>
              </w:rPr>
            </w:pPr>
            <w:r w:rsidRPr="00C11E22">
              <w:rPr>
                <w:color w:val="000000"/>
                <w:lang w:val="uk-UA"/>
              </w:rPr>
              <w:t>Смакові якості, бали</w:t>
            </w:r>
          </w:p>
        </w:tc>
        <w:tc>
          <w:tcPr>
            <w:tcW w:w="1260" w:type="dxa"/>
          </w:tcPr>
          <w:p w:rsidR="003158CB" w:rsidRPr="00C11E22" w:rsidRDefault="003158CB" w:rsidP="00C11E22">
            <w:pPr>
              <w:jc w:val="center"/>
              <w:rPr>
                <w:color w:val="000000"/>
                <w:lang w:val="uk-UA"/>
              </w:rPr>
            </w:pPr>
            <w:r w:rsidRPr="00C11E22">
              <w:rPr>
                <w:color w:val="000000"/>
                <w:lang w:val="uk-UA"/>
              </w:rPr>
              <w:t>4,75</w:t>
            </w:r>
          </w:p>
        </w:tc>
        <w:tc>
          <w:tcPr>
            <w:tcW w:w="1260" w:type="dxa"/>
          </w:tcPr>
          <w:p w:rsidR="003158CB" w:rsidRPr="00C11E22" w:rsidRDefault="003158CB" w:rsidP="00C11E22">
            <w:pPr>
              <w:jc w:val="center"/>
              <w:rPr>
                <w:color w:val="000000"/>
                <w:lang w:val="uk-UA"/>
              </w:rPr>
            </w:pPr>
            <w:r w:rsidRPr="00C11E22">
              <w:rPr>
                <w:color w:val="000000"/>
                <w:lang w:val="uk-UA"/>
              </w:rPr>
              <w:t>4,3</w:t>
            </w:r>
          </w:p>
        </w:tc>
        <w:tc>
          <w:tcPr>
            <w:tcW w:w="900" w:type="dxa"/>
          </w:tcPr>
          <w:p w:rsidR="003158CB" w:rsidRPr="00C11E22" w:rsidRDefault="003158CB" w:rsidP="00C11E22">
            <w:pPr>
              <w:jc w:val="center"/>
              <w:rPr>
                <w:color w:val="000000"/>
                <w:lang w:val="uk-UA"/>
              </w:rPr>
            </w:pPr>
            <w:r w:rsidRPr="00C11E22">
              <w:rPr>
                <w:color w:val="000000"/>
                <w:lang w:val="uk-UA"/>
              </w:rPr>
              <w:t>1,11</w:t>
            </w:r>
          </w:p>
        </w:tc>
        <w:tc>
          <w:tcPr>
            <w:tcW w:w="900" w:type="dxa"/>
          </w:tcPr>
          <w:p w:rsidR="003158CB" w:rsidRPr="00C11E22" w:rsidRDefault="003158CB" w:rsidP="00C11E22">
            <w:pPr>
              <w:jc w:val="center"/>
              <w:rPr>
                <w:color w:val="000000"/>
                <w:lang w:val="uk-UA"/>
              </w:rPr>
            </w:pPr>
            <w:r w:rsidRPr="00C11E22">
              <w:rPr>
                <w:color w:val="000000"/>
                <w:lang w:val="uk-UA"/>
              </w:rPr>
              <w:t>0,4</w:t>
            </w:r>
          </w:p>
        </w:tc>
        <w:tc>
          <w:tcPr>
            <w:tcW w:w="1080" w:type="dxa"/>
          </w:tcPr>
          <w:p w:rsidR="003158CB" w:rsidRPr="00C11E22" w:rsidRDefault="003158CB" w:rsidP="00C11E22">
            <w:pPr>
              <w:jc w:val="center"/>
              <w:rPr>
                <w:color w:val="000000"/>
                <w:lang w:val="uk-UA"/>
              </w:rPr>
            </w:pPr>
            <w:r w:rsidRPr="00C11E22">
              <w:rPr>
                <w:color w:val="000000"/>
                <w:lang w:val="uk-UA"/>
              </w:rPr>
              <w:t>0,444</w:t>
            </w: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5.</w:t>
            </w:r>
          </w:p>
        </w:tc>
        <w:tc>
          <w:tcPr>
            <w:tcW w:w="3594" w:type="dxa"/>
          </w:tcPr>
          <w:p w:rsidR="003158CB" w:rsidRPr="00C11E22" w:rsidRDefault="003158CB" w:rsidP="00C11E22">
            <w:pPr>
              <w:rPr>
                <w:color w:val="000000"/>
                <w:lang w:val="uk-UA"/>
              </w:rPr>
            </w:pPr>
            <w:r w:rsidRPr="00C11E22">
              <w:rPr>
                <w:color w:val="000000"/>
                <w:lang w:val="uk-UA"/>
              </w:rPr>
              <w:t>Термін зберігання, бали</w:t>
            </w:r>
          </w:p>
        </w:tc>
        <w:tc>
          <w:tcPr>
            <w:tcW w:w="1260" w:type="dxa"/>
          </w:tcPr>
          <w:p w:rsidR="003158CB" w:rsidRPr="00C11E22" w:rsidRDefault="003158CB" w:rsidP="00C11E22">
            <w:pPr>
              <w:jc w:val="center"/>
              <w:rPr>
                <w:color w:val="000000"/>
                <w:lang w:val="uk-UA"/>
              </w:rPr>
            </w:pPr>
            <w:r w:rsidRPr="00C11E22">
              <w:rPr>
                <w:color w:val="000000"/>
                <w:lang w:val="uk-UA"/>
              </w:rPr>
              <w:t>4,9</w:t>
            </w:r>
          </w:p>
        </w:tc>
        <w:tc>
          <w:tcPr>
            <w:tcW w:w="1260" w:type="dxa"/>
          </w:tcPr>
          <w:p w:rsidR="003158CB" w:rsidRPr="00C11E22" w:rsidRDefault="003158CB" w:rsidP="00C11E22">
            <w:pPr>
              <w:jc w:val="center"/>
              <w:rPr>
                <w:color w:val="000000"/>
                <w:lang w:val="uk-UA"/>
              </w:rPr>
            </w:pPr>
            <w:r w:rsidRPr="00C11E22">
              <w:rPr>
                <w:color w:val="000000"/>
                <w:lang w:val="uk-UA"/>
              </w:rPr>
              <w:t>4,8</w:t>
            </w:r>
          </w:p>
        </w:tc>
        <w:tc>
          <w:tcPr>
            <w:tcW w:w="900" w:type="dxa"/>
          </w:tcPr>
          <w:p w:rsidR="003158CB" w:rsidRPr="00C11E22" w:rsidRDefault="003158CB" w:rsidP="00C11E22">
            <w:pPr>
              <w:jc w:val="center"/>
              <w:rPr>
                <w:color w:val="000000"/>
                <w:lang w:val="uk-UA"/>
              </w:rPr>
            </w:pPr>
            <w:r w:rsidRPr="00C11E22">
              <w:rPr>
                <w:color w:val="000000"/>
                <w:lang w:val="uk-UA"/>
              </w:rPr>
              <w:t>1,02</w:t>
            </w:r>
          </w:p>
        </w:tc>
        <w:tc>
          <w:tcPr>
            <w:tcW w:w="900" w:type="dxa"/>
          </w:tcPr>
          <w:p w:rsidR="003158CB" w:rsidRPr="00C11E22" w:rsidRDefault="003158CB" w:rsidP="00C11E22">
            <w:pPr>
              <w:jc w:val="center"/>
              <w:rPr>
                <w:color w:val="000000"/>
                <w:lang w:val="uk-UA"/>
              </w:rPr>
            </w:pPr>
            <w:r w:rsidRPr="00C11E22">
              <w:rPr>
                <w:color w:val="000000"/>
                <w:lang w:val="uk-UA"/>
              </w:rPr>
              <w:t>0,1</w:t>
            </w:r>
          </w:p>
        </w:tc>
        <w:tc>
          <w:tcPr>
            <w:tcW w:w="1080" w:type="dxa"/>
          </w:tcPr>
          <w:p w:rsidR="003158CB" w:rsidRPr="00C11E22" w:rsidRDefault="003158CB" w:rsidP="00C11E22">
            <w:pPr>
              <w:jc w:val="center"/>
              <w:rPr>
                <w:color w:val="000000"/>
                <w:lang w:val="uk-UA"/>
              </w:rPr>
            </w:pPr>
            <w:r w:rsidRPr="00C11E22">
              <w:rPr>
                <w:color w:val="000000"/>
                <w:lang w:val="uk-UA"/>
              </w:rPr>
              <w:t>0,102</w:t>
            </w: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6.</w:t>
            </w:r>
          </w:p>
        </w:tc>
        <w:tc>
          <w:tcPr>
            <w:tcW w:w="3594" w:type="dxa"/>
          </w:tcPr>
          <w:p w:rsidR="003158CB" w:rsidRPr="00C11E22" w:rsidRDefault="003158CB" w:rsidP="00C11E22">
            <w:pPr>
              <w:rPr>
                <w:color w:val="000000"/>
                <w:lang w:val="uk-UA"/>
              </w:rPr>
            </w:pPr>
            <w:r w:rsidRPr="00C11E22">
              <w:rPr>
                <w:color w:val="000000"/>
                <w:lang w:val="uk-UA"/>
              </w:rPr>
              <w:t>Енергетична цінність, бали</w:t>
            </w:r>
          </w:p>
        </w:tc>
        <w:tc>
          <w:tcPr>
            <w:tcW w:w="1260" w:type="dxa"/>
          </w:tcPr>
          <w:p w:rsidR="003158CB" w:rsidRPr="00C11E22" w:rsidRDefault="003158CB" w:rsidP="00C11E22">
            <w:pPr>
              <w:jc w:val="center"/>
              <w:rPr>
                <w:color w:val="000000"/>
                <w:lang w:val="uk-UA"/>
              </w:rPr>
            </w:pPr>
            <w:r w:rsidRPr="00C11E22">
              <w:rPr>
                <w:color w:val="000000"/>
                <w:lang w:val="uk-UA"/>
              </w:rPr>
              <w:t>4,5</w:t>
            </w:r>
          </w:p>
        </w:tc>
        <w:tc>
          <w:tcPr>
            <w:tcW w:w="1260" w:type="dxa"/>
          </w:tcPr>
          <w:p w:rsidR="003158CB" w:rsidRPr="00C11E22" w:rsidRDefault="003158CB" w:rsidP="00C11E22">
            <w:pPr>
              <w:jc w:val="center"/>
              <w:rPr>
                <w:color w:val="000000"/>
                <w:lang w:val="uk-UA"/>
              </w:rPr>
            </w:pPr>
            <w:r w:rsidRPr="00C11E22">
              <w:rPr>
                <w:color w:val="000000"/>
                <w:lang w:val="uk-UA"/>
              </w:rPr>
              <w:t>4</w:t>
            </w:r>
          </w:p>
        </w:tc>
        <w:tc>
          <w:tcPr>
            <w:tcW w:w="900" w:type="dxa"/>
          </w:tcPr>
          <w:p w:rsidR="003158CB" w:rsidRPr="00C11E22" w:rsidRDefault="003158CB" w:rsidP="00C11E22">
            <w:pPr>
              <w:jc w:val="center"/>
              <w:rPr>
                <w:color w:val="000000"/>
                <w:lang w:val="uk-UA"/>
              </w:rPr>
            </w:pPr>
            <w:r w:rsidRPr="00C11E22">
              <w:rPr>
                <w:color w:val="000000"/>
                <w:lang w:val="uk-UA"/>
              </w:rPr>
              <w:t>1,125</w:t>
            </w:r>
          </w:p>
        </w:tc>
        <w:tc>
          <w:tcPr>
            <w:tcW w:w="900" w:type="dxa"/>
          </w:tcPr>
          <w:p w:rsidR="003158CB" w:rsidRPr="00C11E22" w:rsidRDefault="003158CB" w:rsidP="00C11E22">
            <w:pPr>
              <w:jc w:val="center"/>
              <w:rPr>
                <w:color w:val="000000"/>
                <w:lang w:val="uk-UA"/>
              </w:rPr>
            </w:pPr>
            <w:r w:rsidRPr="00C11E22">
              <w:rPr>
                <w:color w:val="000000"/>
                <w:lang w:val="uk-UA"/>
              </w:rPr>
              <w:t>0,2</w:t>
            </w:r>
          </w:p>
        </w:tc>
        <w:tc>
          <w:tcPr>
            <w:tcW w:w="1080" w:type="dxa"/>
          </w:tcPr>
          <w:p w:rsidR="003158CB" w:rsidRPr="00C11E22" w:rsidRDefault="003158CB" w:rsidP="00C11E22">
            <w:pPr>
              <w:jc w:val="center"/>
              <w:rPr>
                <w:color w:val="000000"/>
                <w:lang w:val="uk-UA"/>
              </w:rPr>
            </w:pPr>
            <w:r w:rsidRPr="00C11E22">
              <w:rPr>
                <w:color w:val="000000"/>
                <w:lang w:val="uk-UA"/>
              </w:rPr>
              <w:t>0,225</w:t>
            </w:r>
          </w:p>
        </w:tc>
      </w:tr>
      <w:tr w:rsidR="003158CB" w:rsidRPr="00C11E22" w:rsidTr="00A30DEB">
        <w:tc>
          <w:tcPr>
            <w:tcW w:w="0" w:type="auto"/>
          </w:tcPr>
          <w:p w:rsidR="003158CB" w:rsidRPr="00C11E22" w:rsidRDefault="003158CB" w:rsidP="00C11E22">
            <w:pPr>
              <w:jc w:val="center"/>
              <w:rPr>
                <w:color w:val="000000"/>
                <w:lang w:val="en-US"/>
              </w:rPr>
            </w:pPr>
            <w:r w:rsidRPr="00C11E22">
              <w:rPr>
                <w:color w:val="000000"/>
                <w:lang w:val="en-US"/>
              </w:rPr>
              <w:t>7.</w:t>
            </w:r>
          </w:p>
        </w:tc>
        <w:tc>
          <w:tcPr>
            <w:tcW w:w="3594" w:type="dxa"/>
          </w:tcPr>
          <w:p w:rsidR="003158CB" w:rsidRPr="00C11E22" w:rsidRDefault="003158CB" w:rsidP="00C11E22">
            <w:pPr>
              <w:rPr>
                <w:color w:val="000000"/>
                <w:lang w:val="uk-UA"/>
              </w:rPr>
            </w:pPr>
            <w:r w:rsidRPr="00C11E22">
              <w:rPr>
                <w:color w:val="000000"/>
                <w:lang w:val="uk-UA"/>
              </w:rPr>
              <w:t>Естетичність, бали</w:t>
            </w:r>
          </w:p>
        </w:tc>
        <w:tc>
          <w:tcPr>
            <w:tcW w:w="1260" w:type="dxa"/>
          </w:tcPr>
          <w:p w:rsidR="003158CB" w:rsidRPr="00C11E22" w:rsidRDefault="003158CB" w:rsidP="00C11E22">
            <w:pPr>
              <w:jc w:val="center"/>
              <w:rPr>
                <w:color w:val="000000"/>
                <w:lang w:val="uk-UA"/>
              </w:rPr>
            </w:pPr>
            <w:r w:rsidRPr="00C11E22">
              <w:rPr>
                <w:color w:val="000000"/>
                <w:lang w:val="uk-UA"/>
              </w:rPr>
              <w:t>4,8</w:t>
            </w:r>
          </w:p>
        </w:tc>
        <w:tc>
          <w:tcPr>
            <w:tcW w:w="1260" w:type="dxa"/>
          </w:tcPr>
          <w:p w:rsidR="003158CB" w:rsidRPr="00C11E22" w:rsidRDefault="003158CB" w:rsidP="00C11E22">
            <w:pPr>
              <w:jc w:val="center"/>
              <w:rPr>
                <w:color w:val="000000"/>
                <w:lang w:val="uk-UA"/>
              </w:rPr>
            </w:pPr>
            <w:r w:rsidRPr="00C11E22">
              <w:rPr>
                <w:color w:val="000000"/>
                <w:lang w:val="uk-UA"/>
              </w:rPr>
              <w:t>4,5</w:t>
            </w:r>
          </w:p>
        </w:tc>
        <w:tc>
          <w:tcPr>
            <w:tcW w:w="900" w:type="dxa"/>
          </w:tcPr>
          <w:p w:rsidR="003158CB" w:rsidRPr="00C11E22" w:rsidRDefault="003158CB" w:rsidP="00C11E22">
            <w:pPr>
              <w:jc w:val="center"/>
              <w:rPr>
                <w:color w:val="000000"/>
                <w:lang w:val="uk-UA"/>
              </w:rPr>
            </w:pPr>
            <w:r w:rsidRPr="00C11E22">
              <w:rPr>
                <w:color w:val="000000"/>
                <w:lang w:val="uk-UA"/>
              </w:rPr>
              <w:t>1,07</w:t>
            </w:r>
          </w:p>
        </w:tc>
        <w:tc>
          <w:tcPr>
            <w:tcW w:w="900" w:type="dxa"/>
          </w:tcPr>
          <w:p w:rsidR="003158CB" w:rsidRPr="00C11E22" w:rsidRDefault="003158CB" w:rsidP="00C11E22">
            <w:pPr>
              <w:jc w:val="center"/>
              <w:rPr>
                <w:color w:val="000000"/>
                <w:lang w:val="uk-UA"/>
              </w:rPr>
            </w:pPr>
            <w:r w:rsidRPr="00C11E22">
              <w:rPr>
                <w:color w:val="000000"/>
                <w:lang w:val="uk-UA"/>
              </w:rPr>
              <w:t>0,1</w:t>
            </w:r>
          </w:p>
        </w:tc>
        <w:tc>
          <w:tcPr>
            <w:tcW w:w="1080" w:type="dxa"/>
          </w:tcPr>
          <w:p w:rsidR="003158CB" w:rsidRPr="00C11E22" w:rsidRDefault="003158CB" w:rsidP="00C11E22">
            <w:pPr>
              <w:jc w:val="center"/>
              <w:rPr>
                <w:color w:val="000000"/>
                <w:lang w:val="uk-UA"/>
              </w:rPr>
            </w:pPr>
            <w:r w:rsidRPr="00C11E22">
              <w:rPr>
                <w:color w:val="000000"/>
                <w:lang w:val="uk-UA"/>
              </w:rPr>
              <w:t>0,107</w:t>
            </w:r>
          </w:p>
        </w:tc>
      </w:tr>
      <w:tr w:rsidR="003158CB" w:rsidRPr="00C11E22" w:rsidTr="00A30DEB">
        <w:tc>
          <w:tcPr>
            <w:tcW w:w="0" w:type="auto"/>
          </w:tcPr>
          <w:p w:rsidR="003158CB" w:rsidRPr="00C11E22" w:rsidRDefault="003158CB" w:rsidP="00C11E22">
            <w:pPr>
              <w:jc w:val="center"/>
              <w:rPr>
                <w:color w:val="000000"/>
                <w:lang w:val="en-US"/>
              </w:rPr>
            </w:pPr>
          </w:p>
        </w:tc>
        <w:tc>
          <w:tcPr>
            <w:tcW w:w="3594" w:type="dxa"/>
          </w:tcPr>
          <w:p w:rsidR="003158CB" w:rsidRPr="00C11E22" w:rsidRDefault="003158CB" w:rsidP="00C11E22">
            <w:pPr>
              <w:rPr>
                <w:color w:val="000000"/>
                <w:lang w:val="uk-UA"/>
              </w:rPr>
            </w:pPr>
            <w:r w:rsidRPr="00C11E22">
              <w:rPr>
                <w:color w:val="000000"/>
                <w:lang w:val="uk-UA"/>
              </w:rPr>
              <w:t>Коефіціент якості</w:t>
            </w:r>
          </w:p>
        </w:tc>
        <w:tc>
          <w:tcPr>
            <w:tcW w:w="1260" w:type="dxa"/>
          </w:tcPr>
          <w:p w:rsidR="003158CB" w:rsidRPr="00C11E22" w:rsidRDefault="003158CB" w:rsidP="00C11E22">
            <w:pPr>
              <w:jc w:val="center"/>
              <w:rPr>
                <w:color w:val="000000"/>
                <w:lang w:val="uk-UA"/>
              </w:rPr>
            </w:pPr>
          </w:p>
        </w:tc>
        <w:tc>
          <w:tcPr>
            <w:tcW w:w="1260" w:type="dxa"/>
          </w:tcPr>
          <w:p w:rsidR="003158CB" w:rsidRPr="00C11E22" w:rsidRDefault="003158CB" w:rsidP="00C11E22">
            <w:pPr>
              <w:jc w:val="center"/>
              <w:rPr>
                <w:color w:val="000000"/>
                <w:lang w:val="uk-UA"/>
              </w:rPr>
            </w:pPr>
          </w:p>
        </w:tc>
        <w:tc>
          <w:tcPr>
            <w:tcW w:w="2880" w:type="dxa"/>
            <w:gridSpan w:val="3"/>
          </w:tcPr>
          <w:p w:rsidR="003158CB" w:rsidRPr="00C11E22" w:rsidRDefault="003158CB" w:rsidP="00C11E22">
            <w:pPr>
              <w:jc w:val="center"/>
              <w:rPr>
                <w:color w:val="000000"/>
                <w:lang w:val="uk-UA"/>
              </w:rPr>
            </w:pPr>
            <w:r w:rsidRPr="00C11E22">
              <w:rPr>
                <w:color w:val="000000"/>
                <w:lang w:val="uk-UA"/>
              </w:rPr>
              <w:t>К</w:t>
            </w:r>
            <w:r w:rsidRPr="00C11E22">
              <w:rPr>
                <w:color w:val="000000"/>
                <w:vertAlign w:val="subscript"/>
                <w:lang w:val="uk-UA"/>
              </w:rPr>
              <w:t>я</w:t>
            </w:r>
            <w:r w:rsidRPr="00C11E22">
              <w:rPr>
                <w:color w:val="000000"/>
                <w:lang w:val="uk-UA"/>
              </w:rPr>
              <w:t>=1,0975</w:t>
            </w:r>
          </w:p>
        </w:tc>
      </w:tr>
    </w:tbl>
    <w:p w:rsidR="003158CB" w:rsidRPr="00C11E22" w:rsidRDefault="003158CB" w:rsidP="00C11E22">
      <w:pPr>
        <w:ind w:firstLine="709"/>
        <w:jc w:val="both"/>
        <w:rPr>
          <w:color w:val="000000"/>
          <w:lang w:val="uk-UA"/>
        </w:rPr>
      </w:pPr>
    </w:p>
    <w:p w:rsidR="003158CB" w:rsidRPr="00C11E22" w:rsidRDefault="003158CB" w:rsidP="00C11E22">
      <w:pPr>
        <w:ind w:firstLine="709"/>
        <w:jc w:val="both"/>
        <w:rPr>
          <w:color w:val="000000"/>
          <w:lang w:val="uk-UA"/>
        </w:rPr>
      </w:pPr>
      <w:r w:rsidRPr="00C11E22">
        <w:rPr>
          <w:color w:val="000000"/>
          <w:lang w:val="uk-UA"/>
        </w:rPr>
        <w:t>Оцінка проводиться за 5-ти бальною шкалою.</w:t>
      </w:r>
    </w:p>
    <w:p w:rsidR="003158CB" w:rsidRPr="00C11E22" w:rsidRDefault="003158CB" w:rsidP="00C11E22">
      <w:pPr>
        <w:ind w:firstLine="709"/>
        <w:jc w:val="both"/>
        <w:rPr>
          <w:color w:val="000000"/>
          <w:lang w:val="uk-UA"/>
        </w:rPr>
      </w:pPr>
      <w:r w:rsidRPr="00C11E22">
        <w:rPr>
          <w:color w:val="000000"/>
          <w:lang w:val="uk-UA"/>
        </w:rPr>
        <w:t xml:space="preserve">З таблиці, де </w:t>
      </w:r>
      <w:r w:rsidRPr="00C11E22">
        <w:rPr>
          <w:color w:val="000000"/>
          <w:lang w:val="en-US"/>
        </w:rPr>
        <w:t>k</w:t>
      </w:r>
      <w:r w:rsidRPr="00C11E22">
        <w:rPr>
          <w:color w:val="000000"/>
          <w:vertAlign w:val="subscript"/>
          <w:lang w:val="en-US"/>
        </w:rPr>
        <w:t>j</w:t>
      </w:r>
      <w:r w:rsidRPr="00C11E22">
        <w:rPr>
          <w:color w:val="000000"/>
          <w:lang w:val="uk-UA"/>
        </w:rPr>
        <w:t xml:space="preserve">- відносне покращення </w:t>
      </w:r>
      <w:r w:rsidRPr="00C11E22">
        <w:rPr>
          <w:color w:val="000000"/>
          <w:lang w:val="en-US"/>
        </w:rPr>
        <w:t>j</w:t>
      </w:r>
      <w:r w:rsidRPr="00C11E22">
        <w:rPr>
          <w:color w:val="000000"/>
          <w:lang w:val="uk-UA"/>
        </w:rPr>
        <w:t>-го показника споживчих властивостей; γ</w:t>
      </w:r>
      <w:r w:rsidRPr="00C11E22">
        <w:rPr>
          <w:color w:val="000000"/>
          <w:vertAlign w:val="subscript"/>
          <w:lang w:val="en-US"/>
        </w:rPr>
        <w:t>j</w:t>
      </w:r>
      <w:r w:rsidRPr="00C11E22">
        <w:rPr>
          <w:color w:val="000000"/>
          <w:lang w:val="uk-UA"/>
        </w:rPr>
        <w:t xml:space="preserve">- значимість </w:t>
      </w:r>
      <w:r w:rsidRPr="00C11E22">
        <w:rPr>
          <w:color w:val="000000"/>
          <w:lang w:val="en-US"/>
        </w:rPr>
        <w:t>j</w:t>
      </w:r>
      <w:r w:rsidRPr="00C11E22">
        <w:rPr>
          <w:color w:val="000000"/>
          <w:lang w:val="uk-UA"/>
        </w:rPr>
        <w:t>-го показника за експертними оцінками; ми отримали, що коефіціент якості становить 1,0975. Припустимо, що коефіціент винагороди за якість становить 0,5, тоді:</w:t>
      </w:r>
    </w:p>
    <w:p w:rsidR="003158CB" w:rsidRPr="00C11E22" w:rsidRDefault="003158CB" w:rsidP="00C11E22">
      <w:pPr>
        <w:ind w:firstLine="709"/>
        <w:jc w:val="center"/>
        <w:rPr>
          <w:color w:val="000000"/>
          <w:lang w:val="uk-UA"/>
        </w:rPr>
      </w:pPr>
      <w:r w:rsidRPr="00C11E22">
        <w:rPr>
          <w:color w:val="000000"/>
          <w:lang w:val="uk-UA"/>
        </w:rPr>
        <w:t>Ц</w:t>
      </w:r>
      <w:r w:rsidRPr="00C11E22">
        <w:rPr>
          <w:color w:val="000000"/>
          <w:vertAlign w:val="subscript"/>
          <w:lang w:val="uk-UA"/>
        </w:rPr>
        <w:t>с</w:t>
      </w:r>
      <w:r w:rsidRPr="00C11E22">
        <w:rPr>
          <w:color w:val="000000"/>
          <w:lang w:val="uk-UA"/>
        </w:rPr>
        <w:t>= 3*</w:t>
      </w:r>
      <w:r w:rsidRPr="00C11E22">
        <w:rPr>
          <w:color w:val="000000"/>
        </w:rPr>
        <w:t xml:space="preserve">[1+(1.0975-1)*0.5]=3.15 </w:t>
      </w:r>
      <w:r w:rsidRPr="00C11E22">
        <w:rPr>
          <w:color w:val="000000"/>
          <w:lang w:val="uk-UA"/>
        </w:rPr>
        <w:t>грн./од.хліба</w:t>
      </w:r>
    </w:p>
    <w:p w:rsidR="003158CB" w:rsidRPr="00C11E22" w:rsidRDefault="003158CB" w:rsidP="00C11E22">
      <w:pPr>
        <w:ind w:firstLine="709"/>
        <w:jc w:val="both"/>
        <w:rPr>
          <w:color w:val="000000"/>
          <w:lang w:val="uk-UA"/>
        </w:rPr>
      </w:pPr>
      <w:r w:rsidRPr="00C11E22">
        <w:rPr>
          <w:color w:val="000000"/>
          <w:lang w:val="uk-UA"/>
        </w:rPr>
        <w:t>Для визначення ціни, що враховує інтерес виробника використовують наступну формулу:</w:t>
      </w:r>
    </w:p>
    <w:p w:rsidR="003158CB" w:rsidRPr="00C11E22" w:rsidRDefault="003158CB" w:rsidP="00C11E22">
      <w:pPr>
        <w:ind w:firstLine="709"/>
        <w:jc w:val="center"/>
        <w:rPr>
          <w:color w:val="000000"/>
        </w:rPr>
      </w:pPr>
      <w:r w:rsidRPr="00C11E22">
        <w:rPr>
          <w:color w:val="000000"/>
          <w:lang w:val="uk-UA"/>
        </w:rPr>
        <w:t>Ц</w:t>
      </w:r>
      <w:r w:rsidRPr="00C11E22">
        <w:rPr>
          <w:color w:val="000000"/>
          <w:vertAlign w:val="subscript"/>
          <w:lang w:val="uk-UA"/>
        </w:rPr>
        <w:t>в</w:t>
      </w:r>
      <w:r w:rsidRPr="00C11E22">
        <w:rPr>
          <w:color w:val="000000"/>
          <w:lang w:val="uk-UA"/>
        </w:rPr>
        <w:t>=С*(1+</w:t>
      </w:r>
      <w:r w:rsidRPr="00C11E22">
        <w:rPr>
          <w:color w:val="000000"/>
          <w:lang w:val="en-US"/>
        </w:rPr>
        <w:t>R</w:t>
      </w:r>
      <w:r w:rsidRPr="00C11E22">
        <w:rPr>
          <w:color w:val="000000"/>
        </w:rPr>
        <w:t xml:space="preserve">/100),  </w:t>
      </w:r>
      <w:r w:rsidRPr="00C11E22">
        <w:rPr>
          <w:color w:val="000000"/>
          <w:lang w:val="uk-UA"/>
        </w:rPr>
        <w:t xml:space="preserve">                    </w:t>
      </w:r>
      <w:r w:rsidRPr="00C11E22">
        <w:rPr>
          <w:color w:val="000000"/>
        </w:rPr>
        <w:t>(1.3)</w:t>
      </w:r>
    </w:p>
    <w:p w:rsidR="003158CB" w:rsidRPr="00C11E22" w:rsidRDefault="003158CB" w:rsidP="00C11E22">
      <w:pPr>
        <w:ind w:firstLine="709"/>
        <w:jc w:val="both"/>
        <w:rPr>
          <w:color w:val="000000"/>
        </w:rPr>
      </w:pPr>
      <w:r w:rsidRPr="00C11E22">
        <w:rPr>
          <w:color w:val="000000"/>
        </w:rPr>
        <w:t xml:space="preserve">де  С </w:t>
      </w:r>
      <w:r w:rsidRPr="00C11E22">
        <w:rPr>
          <w:color w:val="000000"/>
          <w:lang w:val="uk-UA"/>
        </w:rPr>
        <w:t>–</w:t>
      </w:r>
      <w:r w:rsidRPr="00C11E22">
        <w:rPr>
          <w:color w:val="000000"/>
        </w:rPr>
        <w:t xml:space="preserve"> соб</w:t>
      </w:r>
      <w:r w:rsidRPr="00C11E22">
        <w:rPr>
          <w:color w:val="000000"/>
          <w:lang w:val="uk-UA"/>
        </w:rPr>
        <w:t>і</w:t>
      </w:r>
      <w:r w:rsidRPr="00C11E22">
        <w:rPr>
          <w:color w:val="000000"/>
        </w:rPr>
        <w:t>варт</w:t>
      </w:r>
      <w:r w:rsidRPr="00C11E22">
        <w:rPr>
          <w:color w:val="000000"/>
          <w:lang w:val="uk-UA"/>
        </w:rPr>
        <w:t>і</w:t>
      </w:r>
      <w:r w:rsidRPr="00C11E22">
        <w:rPr>
          <w:color w:val="000000"/>
        </w:rPr>
        <w:t>сть нового товару, грн.;</w:t>
      </w:r>
    </w:p>
    <w:p w:rsidR="003158CB" w:rsidRPr="00C11E22" w:rsidRDefault="003158CB" w:rsidP="00C11E22">
      <w:pPr>
        <w:ind w:firstLine="709"/>
        <w:jc w:val="both"/>
        <w:rPr>
          <w:color w:val="000000"/>
          <w:lang w:val="uk-UA"/>
        </w:rPr>
      </w:pPr>
      <w:r w:rsidRPr="00C11E22">
        <w:rPr>
          <w:color w:val="000000"/>
        </w:rPr>
        <w:t xml:space="preserve">      </w:t>
      </w:r>
      <w:r w:rsidRPr="00C11E22">
        <w:rPr>
          <w:color w:val="000000"/>
          <w:lang w:val="en-US"/>
        </w:rPr>
        <w:t>R</w:t>
      </w:r>
      <w:r w:rsidRPr="00C11E22">
        <w:rPr>
          <w:color w:val="000000"/>
        </w:rPr>
        <w:t xml:space="preserve"> </w:t>
      </w:r>
      <w:r w:rsidRPr="00C11E22">
        <w:rPr>
          <w:color w:val="000000"/>
          <w:lang w:val="uk-UA"/>
        </w:rPr>
        <w:t>– рівень рентабельності (знаходиться в межах 5-20%).</w:t>
      </w:r>
    </w:p>
    <w:p w:rsidR="003158CB" w:rsidRPr="00C11E22" w:rsidRDefault="003158CB" w:rsidP="00C11E22">
      <w:pPr>
        <w:ind w:firstLine="709"/>
        <w:jc w:val="both"/>
        <w:rPr>
          <w:color w:val="000000"/>
          <w:lang w:val="uk-UA"/>
        </w:rPr>
      </w:pPr>
      <w:r w:rsidRPr="00C11E22">
        <w:rPr>
          <w:color w:val="000000"/>
          <w:lang w:val="uk-UA"/>
        </w:rPr>
        <w:t xml:space="preserve">Собівартість нового продукту становить 3,1грн. Припутимо, </w:t>
      </w:r>
      <w:r w:rsidRPr="00C11E22">
        <w:rPr>
          <w:color w:val="000000"/>
        </w:rPr>
        <w:t xml:space="preserve"> </w:t>
      </w:r>
      <w:r w:rsidRPr="00C11E22">
        <w:rPr>
          <w:color w:val="000000"/>
          <w:lang w:val="uk-UA"/>
        </w:rPr>
        <w:t>що рівень рентабельності становить 10%, тоді:</w:t>
      </w:r>
    </w:p>
    <w:p w:rsidR="003158CB" w:rsidRPr="00C11E22" w:rsidRDefault="003158CB" w:rsidP="00C11E22">
      <w:pPr>
        <w:ind w:firstLine="709"/>
        <w:jc w:val="center"/>
        <w:rPr>
          <w:color w:val="000000"/>
          <w:lang w:val="uk-UA"/>
        </w:rPr>
      </w:pPr>
      <w:r w:rsidRPr="00C11E22">
        <w:rPr>
          <w:color w:val="000000"/>
          <w:lang w:val="uk-UA"/>
        </w:rPr>
        <w:t>Ц</w:t>
      </w:r>
      <w:r w:rsidRPr="00C11E22">
        <w:rPr>
          <w:color w:val="000000"/>
          <w:vertAlign w:val="subscript"/>
          <w:lang w:val="uk-UA"/>
        </w:rPr>
        <w:t>в</w:t>
      </w:r>
      <w:r w:rsidRPr="00C11E22">
        <w:rPr>
          <w:color w:val="000000"/>
          <w:lang w:val="uk-UA"/>
        </w:rPr>
        <w:t>=2,95*(1+10/100)=3,26 грн./од.хліба</w:t>
      </w:r>
    </w:p>
    <w:p w:rsidR="003158CB" w:rsidRPr="00C11E22" w:rsidRDefault="003158CB" w:rsidP="00C11E22">
      <w:pPr>
        <w:ind w:firstLine="709"/>
        <w:jc w:val="both"/>
        <w:rPr>
          <w:color w:val="000000"/>
          <w:vertAlign w:val="subscript"/>
          <w:lang w:val="uk-UA"/>
        </w:rPr>
      </w:pPr>
      <w:r w:rsidRPr="00C11E22">
        <w:rPr>
          <w:color w:val="000000"/>
          <w:lang w:val="uk-UA"/>
        </w:rPr>
        <w:t>Після розрахунків було вирішено, що ціна на новий товар становитиме 3,25 грн., оскільки вона повинна знаходитись в межах Ц</w:t>
      </w:r>
      <w:r w:rsidRPr="00C11E22">
        <w:rPr>
          <w:color w:val="000000"/>
          <w:vertAlign w:val="subscript"/>
          <w:lang w:val="uk-UA"/>
        </w:rPr>
        <w:t>с</w:t>
      </w:r>
      <w:r w:rsidRPr="00C11E22">
        <w:rPr>
          <w:color w:val="000000"/>
          <w:lang w:val="uk-UA"/>
        </w:rPr>
        <w:t>– Ц</w:t>
      </w:r>
      <w:r w:rsidRPr="00C11E22">
        <w:rPr>
          <w:color w:val="000000"/>
          <w:vertAlign w:val="subscript"/>
          <w:lang w:val="uk-UA"/>
        </w:rPr>
        <w:t>в.</w:t>
      </w:r>
    </w:p>
    <w:p w:rsidR="003158CB" w:rsidRPr="00C11E22" w:rsidRDefault="003158CB" w:rsidP="00C11E22">
      <w:pPr>
        <w:ind w:firstLine="709"/>
        <w:jc w:val="both"/>
        <w:rPr>
          <w:color w:val="000000"/>
          <w:lang w:val="uk-UA"/>
        </w:rPr>
      </w:pPr>
      <w:r w:rsidRPr="00C11E22">
        <w:rPr>
          <w:color w:val="000000"/>
          <w:lang w:val="uk-UA"/>
        </w:rPr>
        <w:t>Реклама є одним з найважливіших елементів маркетингу, оскільки сприяє активізації продажу товарів та послуг. Тому проблема стимулювання збуту продукції вирішуватиметься за рахунок розміщення реклами.</w:t>
      </w:r>
    </w:p>
    <w:p w:rsidR="003158CB" w:rsidRPr="00C11E22" w:rsidRDefault="003158CB" w:rsidP="00C11E22">
      <w:pPr>
        <w:ind w:firstLine="709"/>
        <w:jc w:val="both"/>
        <w:rPr>
          <w:color w:val="000000"/>
          <w:lang w:val="uk-UA"/>
        </w:rPr>
      </w:pPr>
      <w:r w:rsidRPr="00C11E22">
        <w:rPr>
          <w:color w:val="000000"/>
          <w:lang w:val="uk-UA"/>
        </w:rPr>
        <w:t>Завданням реклами є поширення інформації про ТОВ «Домашній хлібець», та його продукцію, вплив на прийняття рішень, щодо вибору хл</w:t>
      </w:r>
      <w:r w:rsidR="00C11E22" w:rsidRPr="00C11E22">
        <w:rPr>
          <w:color w:val="000000"/>
          <w:lang w:val="uk-UA"/>
        </w:rPr>
        <w:t>і</w:t>
      </w:r>
      <w:r w:rsidRPr="00C11E22">
        <w:rPr>
          <w:color w:val="000000"/>
          <w:lang w:val="uk-UA"/>
        </w:rPr>
        <w:t>бі для споживання.</w:t>
      </w:r>
    </w:p>
    <w:p w:rsidR="003158CB" w:rsidRPr="00C11E22" w:rsidRDefault="003158CB" w:rsidP="00C11E22">
      <w:pPr>
        <w:ind w:firstLine="709"/>
        <w:jc w:val="both"/>
        <w:rPr>
          <w:color w:val="000000"/>
          <w:lang w:val="uk-UA"/>
        </w:rPr>
      </w:pPr>
      <w:r w:rsidRPr="00C11E22">
        <w:rPr>
          <w:color w:val="000000"/>
          <w:lang w:val="uk-UA"/>
        </w:rPr>
        <w:t>ТОВ «Домашній хлібець» використовуватиме такі засоби реклами: друкована реклама (наклейки, календарики, візитки), реклама у місцевій пресі, оскільки це не потребує значних затрат, порівняно з іншими засобами реклами і є дуже ефективними. Також ТОВ «Домшній хлібець» братиме участь у різноманітних ярмарках, оскільки вони дають неабияку можливість здобути нових споживачів продукції.</w:t>
      </w:r>
    </w:p>
    <w:p w:rsidR="00C11E22" w:rsidRPr="007B5B9B" w:rsidRDefault="00C11E22" w:rsidP="00C11E22">
      <w:pPr>
        <w:ind w:firstLine="709"/>
        <w:jc w:val="center"/>
        <w:rPr>
          <w:b/>
          <w:color w:val="000000"/>
          <w:lang w:val="uk-UA"/>
        </w:rPr>
      </w:pPr>
      <w:r w:rsidRPr="007B5B9B">
        <w:rPr>
          <w:b/>
          <w:color w:val="000000"/>
          <w:lang w:val="uk-UA"/>
        </w:rPr>
        <w:t>Вибір організаційно-правової форми</w:t>
      </w:r>
    </w:p>
    <w:p w:rsidR="00C11E22" w:rsidRPr="00C11E22" w:rsidRDefault="00C11E22" w:rsidP="00C11E22">
      <w:pPr>
        <w:ind w:firstLine="709"/>
        <w:jc w:val="both"/>
        <w:rPr>
          <w:color w:val="000000"/>
          <w:lang w:val="uk-UA"/>
        </w:rPr>
      </w:pPr>
      <w:r w:rsidRPr="00C11E22">
        <w:rPr>
          <w:color w:val="000000"/>
          <w:lang w:val="uk-UA"/>
        </w:rPr>
        <w:t>Заснувати ТОВ, як і ПП, можуть одна чи кілька фізичних осіб або одна чи декілька юридичних осіб. Існує лише обмеження, що ТОВ не може мати єдиним засновником інше господарське товариство, засновником якого є одна особа.</w:t>
      </w:r>
    </w:p>
    <w:p w:rsidR="00C11E22" w:rsidRPr="00C11E22" w:rsidRDefault="00C11E22" w:rsidP="00C11E22">
      <w:pPr>
        <w:ind w:firstLine="709"/>
        <w:jc w:val="both"/>
        <w:rPr>
          <w:color w:val="000000"/>
          <w:lang w:val="uk-UA"/>
        </w:rPr>
      </w:pPr>
      <w:r w:rsidRPr="00C11E22">
        <w:rPr>
          <w:color w:val="000000"/>
          <w:lang w:val="uk-UA"/>
        </w:rPr>
        <w:t xml:space="preserve">Формування статутного фонду викликає багато питань у майбутніх підприємців. Згідно із Законом України “Про господарські товариства” та Господарським кодексом України вкладами учасників та засновників господарського товариства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а також інші майнові права (включаючи майнові права на об‘єкти інтелектуальної власності), кошти, в тому числі в іноземній валюті. Тобто підприємцю зовсім не обов’язково вносити </w:t>
      </w:r>
      <w:r w:rsidRPr="00C11E22">
        <w:rPr>
          <w:color w:val="000000"/>
          <w:lang w:val="uk-UA"/>
        </w:rPr>
        <w:lastRenderedPageBreak/>
        <w:t>десятки тисяч гривень на формування статутного фонду до банку, він може скористатися наявним у нього майном.</w:t>
      </w:r>
    </w:p>
    <w:p w:rsidR="00C11E22" w:rsidRPr="00C11E22" w:rsidRDefault="00C11E22" w:rsidP="00C11E22">
      <w:pPr>
        <w:ind w:firstLine="709"/>
        <w:jc w:val="both"/>
        <w:rPr>
          <w:color w:val="000000"/>
          <w:lang w:val="uk-UA"/>
        </w:rPr>
      </w:pPr>
      <w:r w:rsidRPr="00C11E22">
        <w:rPr>
          <w:color w:val="000000"/>
          <w:lang w:val="uk-UA"/>
        </w:rPr>
        <w:t>ТОВ – одна з найкраще регламентованих форм бізнесу в Україні, яка є найбільш захищеною від рейдерських атак порівняно з іншими і яка досить детально регламентує відносини з партнерами та третіми особами. Тому ця форма найбільш актуальна для тих осіб, яки починають його з партнерами, або хочуть виходити на серйозні ринки з подальшим продажем компанії.</w:t>
      </w:r>
    </w:p>
    <w:p w:rsidR="00C11E22" w:rsidRPr="00C11E22" w:rsidRDefault="00C11E22" w:rsidP="00C11E22">
      <w:pPr>
        <w:ind w:firstLine="709"/>
        <w:jc w:val="both"/>
        <w:rPr>
          <w:color w:val="000000"/>
          <w:lang w:val="uk-UA"/>
        </w:rPr>
      </w:pPr>
      <w:r w:rsidRPr="00C11E22">
        <w:rPr>
          <w:color w:val="000000"/>
          <w:lang w:val="uk-UA"/>
        </w:rPr>
        <w:t xml:space="preserve">Оскільки майбутня діяльність підприємства може супроводжуватися  комерційними ризиками, то варто реєструвати юридичну особу (ПП або ТОВ).  </w:t>
      </w:r>
    </w:p>
    <w:p w:rsidR="00C11E22" w:rsidRPr="00C11E22" w:rsidRDefault="00C11E22" w:rsidP="00C11E22">
      <w:pPr>
        <w:ind w:firstLine="709"/>
        <w:jc w:val="both"/>
        <w:rPr>
          <w:color w:val="000000"/>
          <w:lang w:val="uk-UA"/>
        </w:rPr>
      </w:pPr>
      <w:r w:rsidRPr="00C11E22">
        <w:rPr>
          <w:color w:val="000000"/>
          <w:lang w:val="uk-UA"/>
        </w:rPr>
        <w:t>Щодо вибору між ПП та ТОВ, то тут треба зазначити що різниця полягає в розмірі статутного фонду та наявності або відсутності партнерів. Оскільки бізнес ведуть декілька партнерів, то було обране ТОВ як організаційно-правова форма підприємства. Це дозволить нам чітко розмежувати сферу нашої співпраці, відповідальності та отримання прибутків.</w:t>
      </w:r>
    </w:p>
    <w:p w:rsidR="00C11E22" w:rsidRPr="00C11E22" w:rsidRDefault="00C11E22" w:rsidP="00C11E22">
      <w:pPr>
        <w:ind w:firstLine="709"/>
        <w:jc w:val="both"/>
        <w:rPr>
          <w:color w:val="000000"/>
          <w:lang w:val="uk-UA"/>
        </w:rPr>
      </w:pPr>
    </w:p>
    <w:p w:rsidR="00BF3B27" w:rsidRPr="00C11E22" w:rsidRDefault="00BF3B27" w:rsidP="00C11E22">
      <w:pPr>
        <w:rPr>
          <w:lang w:val="uk-UA"/>
        </w:rPr>
      </w:pPr>
    </w:p>
    <w:sectPr w:rsidR="00BF3B27" w:rsidRPr="00C11E22" w:rsidSect="00BF3B27">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EF" w:rsidRDefault="00B972EF" w:rsidP="00B972EF">
      <w:r>
        <w:separator/>
      </w:r>
    </w:p>
  </w:endnote>
  <w:endnote w:type="continuationSeparator" w:id="0">
    <w:p w:rsidR="00B972EF" w:rsidRDefault="00B972EF" w:rsidP="00B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EF" w:rsidRDefault="00B972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EF" w:rsidRDefault="00B972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EF" w:rsidRDefault="00B972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EF" w:rsidRDefault="00B972EF" w:rsidP="00B972EF">
      <w:r>
        <w:separator/>
      </w:r>
    </w:p>
  </w:footnote>
  <w:footnote w:type="continuationSeparator" w:id="0">
    <w:p w:rsidR="00B972EF" w:rsidRDefault="00B972EF" w:rsidP="00B9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EF" w:rsidRDefault="00B972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EF" w:rsidRPr="00B972EF" w:rsidRDefault="00B972EF" w:rsidP="00B972EF">
    <w:pPr>
      <w:pStyle w:val="a6"/>
      <w:jc w:val="center"/>
      <w:rPr>
        <w:rFonts w:ascii="Tahoma" w:hAnsi="Tahoma"/>
        <w:b/>
        <w:color w:val="B3B3B3"/>
        <w:sz w:val="14"/>
      </w:rPr>
    </w:pPr>
    <w:hyperlink r:id="rId1" w:history="1">
      <w:r w:rsidRPr="00B972EF">
        <w:rPr>
          <w:rStyle w:val="aa"/>
          <w:rFonts w:ascii="Tahoma" w:hAnsi="Tahoma"/>
          <w:b/>
          <w:color w:val="B3B3B3"/>
          <w:sz w:val="14"/>
        </w:rPr>
        <w:t>http://antibotan.com/</w:t>
      </w:r>
    </w:hyperlink>
    <w:r w:rsidRPr="00B972E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EF" w:rsidRDefault="00B972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187"/>
    <w:multiLevelType w:val="hybridMultilevel"/>
    <w:tmpl w:val="60948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58CB"/>
    <w:rsid w:val="0001721C"/>
    <w:rsid w:val="00173329"/>
    <w:rsid w:val="00264CCC"/>
    <w:rsid w:val="002E12BE"/>
    <w:rsid w:val="003158CB"/>
    <w:rsid w:val="007B5B9B"/>
    <w:rsid w:val="00B972EF"/>
    <w:rsid w:val="00BF3B27"/>
    <w:rsid w:val="00C11E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58C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58CB"/>
    <w:rPr>
      <w:rFonts w:ascii="Tahoma" w:hAnsi="Tahoma" w:cs="Tahoma"/>
      <w:sz w:val="16"/>
      <w:szCs w:val="16"/>
    </w:rPr>
  </w:style>
  <w:style w:type="character" w:customStyle="1" w:styleId="a5">
    <w:name w:val="Текст у виносці Знак"/>
    <w:basedOn w:val="a0"/>
    <w:link w:val="a4"/>
    <w:uiPriority w:val="99"/>
    <w:semiHidden/>
    <w:rsid w:val="003158CB"/>
    <w:rPr>
      <w:rFonts w:ascii="Tahoma" w:eastAsia="Times New Roman" w:hAnsi="Tahoma" w:cs="Tahoma"/>
      <w:sz w:val="16"/>
      <w:szCs w:val="16"/>
      <w:lang w:val="ru-RU" w:eastAsia="ru-RU"/>
    </w:rPr>
  </w:style>
  <w:style w:type="character" w:customStyle="1" w:styleId="apple-converted-space">
    <w:name w:val="apple-converted-space"/>
    <w:basedOn w:val="a0"/>
    <w:rsid w:val="00264CCC"/>
  </w:style>
  <w:style w:type="paragraph" w:styleId="a6">
    <w:name w:val="header"/>
    <w:basedOn w:val="a"/>
    <w:link w:val="a7"/>
    <w:uiPriority w:val="99"/>
    <w:unhideWhenUsed/>
    <w:rsid w:val="00B972EF"/>
    <w:pPr>
      <w:tabs>
        <w:tab w:val="center" w:pos="4677"/>
        <w:tab w:val="right" w:pos="9355"/>
      </w:tabs>
    </w:pPr>
  </w:style>
  <w:style w:type="character" w:customStyle="1" w:styleId="a7">
    <w:name w:val="Верхній колонтитул Знак"/>
    <w:basedOn w:val="a0"/>
    <w:link w:val="a6"/>
    <w:uiPriority w:val="99"/>
    <w:rsid w:val="00B972E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B972EF"/>
    <w:pPr>
      <w:tabs>
        <w:tab w:val="center" w:pos="4677"/>
        <w:tab w:val="right" w:pos="9355"/>
      </w:tabs>
    </w:pPr>
  </w:style>
  <w:style w:type="character" w:customStyle="1" w:styleId="a9">
    <w:name w:val="Нижній колонтитул Знак"/>
    <w:basedOn w:val="a0"/>
    <w:link w:val="a8"/>
    <w:uiPriority w:val="99"/>
    <w:rsid w:val="00B972EF"/>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B97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1"/>
          <c:invertIfNegative val="0"/>
          <c:cat>
            <c:numRef>
              <c:f>(Лист1!$D$17,Лист1!$D$18,Лист1!$D$19,Лист1!$D$20,Лист1!$D$21,Лист1!$D$22,Лист1!$D$23,Лист1!$D$24)</c:f>
              <c:numCache>
                <c:formatCode>General</c:formatCode>
                <c:ptCount val="8"/>
                <c:pt idx="0">
                  <c:v>2003</c:v>
                </c:pt>
                <c:pt idx="1">
                  <c:v>2004</c:v>
                </c:pt>
                <c:pt idx="2">
                  <c:v>2005</c:v>
                </c:pt>
                <c:pt idx="3">
                  <c:v>2006</c:v>
                </c:pt>
                <c:pt idx="4">
                  <c:v>2007</c:v>
                </c:pt>
                <c:pt idx="5">
                  <c:v>2008</c:v>
                </c:pt>
                <c:pt idx="6">
                  <c:v>2009</c:v>
                </c:pt>
                <c:pt idx="7">
                  <c:v>2010</c:v>
                </c:pt>
              </c:numCache>
            </c:numRef>
          </c:cat>
          <c:val>
            <c:numRef>
              <c:f>(Лист1!$C$17,Лист1!$C$18,Лист1!$C$19,Лист1!$C$20,Лист1!$C$21,Лист1!$C$22,Лист1!$C$23,Лист1!$C$24)</c:f>
              <c:numCache>
                <c:formatCode>General</c:formatCode>
                <c:ptCount val="8"/>
                <c:pt idx="0">
                  <c:v>2335</c:v>
                </c:pt>
                <c:pt idx="1">
                  <c:v>2307</c:v>
                </c:pt>
                <c:pt idx="2">
                  <c:v>2264</c:v>
                </c:pt>
                <c:pt idx="3">
                  <c:v>2160</c:v>
                </c:pt>
                <c:pt idx="4">
                  <c:v>2034</c:v>
                </c:pt>
                <c:pt idx="5">
                  <c:v>1978</c:v>
                </c:pt>
                <c:pt idx="6">
                  <c:v>1828</c:v>
                </c:pt>
                <c:pt idx="7">
                  <c:v>1807</c:v>
                </c:pt>
              </c:numCache>
            </c:numRef>
          </c:val>
        </c:ser>
        <c:ser>
          <c:idx val="0"/>
          <c:order val="0"/>
          <c:invertIfNegative val="0"/>
          <c:dLbls>
            <c:showLegendKey val="0"/>
            <c:showVal val="1"/>
            <c:showCatName val="0"/>
            <c:showSerName val="0"/>
            <c:showPercent val="0"/>
            <c:showBubbleSize val="0"/>
            <c:showLeaderLines val="0"/>
          </c:dLbls>
          <c:cat>
            <c:numRef>
              <c:f>(Лист1!$D$17,Лист1!$D$18,Лист1!$D$19,Лист1!$D$20,Лист1!$D$21,Лист1!$D$22,Лист1!$D$23,Лист1!$D$24)</c:f>
              <c:numCache>
                <c:formatCode>General</c:formatCode>
                <c:ptCount val="8"/>
                <c:pt idx="0">
                  <c:v>2003</c:v>
                </c:pt>
                <c:pt idx="1">
                  <c:v>2004</c:v>
                </c:pt>
                <c:pt idx="2">
                  <c:v>2005</c:v>
                </c:pt>
                <c:pt idx="3">
                  <c:v>2006</c:v>
                </c:pt>
                <c:pt idx="4">
                  <c:v>2007</c:v>
                </c:pt>
                <c:pt idx="5">
                  <c:v>2008</c:v>
                </c:pt>
                <c:pt idx="6">
                  <c:v>2009</c:v>
                </c:pt>
                <c:pt idx="7">
                  <c:v>2010</c:v>
                </c:pt>
              </c:numCache>
            </c:numRef>
          </c:cat>
          <c:val>
            <c:numRef>
              <c:f>(Лист1!$C$17,Лист1!$C$18,Лист1!$C$19,Лист1!$C$20,Лист1!$C$21,Лист1!$C$22,Лист1!$C$23,Лист1!$C$24)</c:f>
              <c:numCache>
                <c:formatCode>General</c:formatCode>
                <c:ptCount val="8"/>
                <c:pt idx="0">
                  <c:v>2335</c:v>
                </c:pt>
                <c:pt idx="1">
                  <c:v>2307</c:v>
                </c:pt>
                <c:pt idx="2">
                  <c:v>2264</c:v>
                </c:pt>
                <c:pt idx="3">
                  <c:v>2160</c:v>
                </c:pt>
                <c:pt idx="4">
                  <c:v>2034</c:v>
                </c:pt>
                <c:pt idx="5">
                  <c:v>1978</c:v>
                </c:pt>
                <c:pt idx="6">
                  <c:v>1828</c:v>
                </c:pt>
                <c:pt idx="7">
                  <c:v>1807</c:v>
                </c:pt>
              </c:numCache>
            </c:numRef>
          </c:val>
        </c:ser>
        <c:dLbls>
          <c:showLegendKey val="0"/>
          <c:showVal val="0"/>
          <c:showCatName val="0"/>
          <c:showSerName val="0"/>
          <c:showPercent val="0"/>
          <c:showBubbleSize val="0"/>
        </c:dLbls>
        <c:gapWidth val="150"/>
        <c:shape val="box"/>
        <c:axId val="130755584"/>
        <c:axId val="130761472"/>
        <c:axId val="0"/>
      </c:bar3DChart>
      <c:catAx>
        <c:axId val="130755584"/>
        <c:scaling>
          <c:orientation val="minMax"/>
        </c:scaling>
        <c:delete val="0"/>
        <c:axPos val="b"/>
        <c:numFmt formatCode="General" sourceLinked="1"/>
        <c:majorTickMark val="out"/>
        <c:minorTickMark val="none"/>
        <c:tickLblPos val="nextTo"/>
        <c:crossAx val="130761472"/>
        <c:crosses val="autoZero"/>
        <c:auto val="1"/>
        <c:lblAlgn val="ctr"/>
        <c:lblOffset val="100"/>
        <c:noMultiLvlLbl val="0"/>
      </c:catAx>
      <c:valAx>
        <c:axId val="130761472"/>
        <c:scaling>
          <c:orientation val="minMax"/>
        </c:scaling>
        <c:delete val="0"/>
        <c:axPos val="l"/>
        <c:majorGridlines/>
        <c:numFmt formatCode="General" sourceLinked="1"/>
        <c:majorTickMark val="out"/>
        <c:minorTickMark val="none"/>
        <c:tickLblPos val="nextTo"/>
        <c:crossAx val="130755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numRef>
              <c:f>(Лист1!$D$17,Лист1!$D$18,Лист1!$D$19,Лист1!$D$20,Лист1!$D$21,Лист1!$D$22,Лист1!$D$23,Лист1!$D$24)</c:f>
              <c:numCache>
                <c:formatCode>General</c:formatCode>
                <c:ptCount val="8"/>
                <c:pt idx="0">
                  <c:v>2003</c:v>
                </c:pt>
                <c:pt idx="1">
                  <c:v>2004</c:v>
                </c:pt>
                <c:pt idx="2">
                  <c:v>2005</c:v>
                </c:pt>
                <c:pt idx="3">
                  <c:v>2006</c:v>
                </c:pt>
                <c:pt idx="4">
                  <c:v>2007</c:v>
                </c:pt>
                <c:pt idx="5">
                  <c:v>2008</c:v>
                </c:pt>
                <c:pt idx="6">
                  <c:v>2009</c:v>
                </c:pt>
                <c:pt idx="7">
                  <c:v>2010</c:v>
                </c:pt>
              </c:numCache>
            </c:numRef>
          </c:cat>
          <c:val>
            <c:numRef>
              <c:f>(Лист1!$F$17,Лист1!$F$18,Лист1!$F$19,Лист1!$F$20,Лист1!$F$21,Лист1!$F$22,Лист1!$F$23,Лист1!$F$24)</c:f>
              <c:numCache>
                <c:formatCode>General</c:formatCode>
                <c:ptCount val="8"/>
                <c:pt idx="0">
                  <c:v>42.8</c:v>
                </c:pt>
                <c:pt idx="1">
                  <c:v>40.1</c:v>
                </c:pt>
                <c:pt idx="2">
                  <c:v>39.300000000000004</c:v>
                </c:pt>
                <c:pt idx="3">
                  <c:v>38.4</c:v>
                </c:pt>
                <c:pt idx="4">
                  <c:v>38.200000000000003</c:v>
                </c:pt>
                <c:pt idx="5">
                  <c:v>38.5</c:v>
                </c:pt>
                <c:pt idx="6">
                  <c:v>36</c:v>
                </c:pt>
                <c:pt idx="7">
                  <c:v>36.300000000000004</c:v>
                </c:pt>
              </c:numCache>
            </c:numRef>
          </c:val>
        </c:ser>
        <c:dLbls>
          <c:showLegendKey val="0"/>
          <c:showVal val="0"/>
          <c:showCatName val="0"/>
          <c:showSerName val="0"/>
          <c:showPercent val="0"/>
          <c:showBubbleSize val="0"/>
        </c:dLbls>
        <c:gapWidth val="150"/>
        <c:shape val="box"/>
        <c:axId val="130796928"/>
        <c:axId val="130806912"/>
        <c:axId val="0"/>
      </c:bar3DChart>
      <c:catAx>
        <c:axId val="130796928"/>
        <c:scaling>
          <c:orientation val="minMax"/>
        </c:scaling>
        <c:delete val="0"/>
        <c:axPos val="b"/>
        <c:numFmt formatCode="General" sourceLinked="1"/>
        <c:majorTickMark val="out"/>
        <c:minorTickMark val="none"/>
        <c:tickLblPos val="nextTo"/>
        <c:crossAx val="130806912"/>
        <c:crosses val="autoZero"/>
        <c:auto val="1"/>
        <c:lblAlgn val="ctr"/>
        <c:lblOffset val="100"/>
        <c:noMultiLvlLbl val="0"/>
      </c:catAx>
      <c:valAx>
        <c:axId val="130806912"/>
        <c:scaling>
          <c:orientation val="minMax"/>
        </c:scaling>
        <c:delete val="0"/>
        <c:axPos val="l"/>
        <c:majorGridlines/>
        <c:numFmt formatCode="General" sourceLinked="1"/>
        <c:majorTickMark val="out"/>
        <c:minorTickMark val="none"/>
        <c:tickLblPos val="nextTo"/>
        <c:crossAx val="130796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diamond"/>
            <c:size val="7"/>
          </c:marker>
          <c:cat>
            <c:numRef>
              <c:f>(Лист1!$D$15,Лист1!$D$16,Лист1!$D$17,Лист1!$D$18,Лист1!$D$19,Лист1!$D$20,Лист1!$D$21,Лист1!$D$22,Лист1!$D$23,Лист1!$D$24)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(Лист1!$G$17,Лист1!$G$18,Лист1!$G$19,Лист1!$G$21,Лист1!$G$22,Лист1!$G$23,Лист1!$G$24,Лист1!$G$25,Лист1!$G$26,Лист1!$G$27)</c:f>
              <c:numCache>
                <c:formatCode>General</c:formatCode>
                <c:ptCount val="10"/>
                <c:pt idx="0">
                  <c:v>103</c:v>
                </c:pt>
                <c:pt idx="1">
                  <c:v>98</c:v>
                </c:pt>
                <c:pt idx="2">
                  <c:v>107.2</c:v>
                </c:pt>
                <c:pt idx="3">
                  <c:v>105.7</c:v>
                </c:pt>
                <c:pt idx="4">
                  <c:v>103</c:v>
                </c:pt>
                <c:pt idx="5">
                  <c:v>100.6</c:v>
                </c:pt>
                <c:pt idx="6">
                  <c:v>97.3</c:v>
                </c:pt>
                <c:pt idx="7">
                  <c:v>98.5</c:v>
                </c:pt>
                <c:pt idx="8">
                  <c:v>90.7</c:v>
                </c:pt>
                <c:pt idx="9">
                  <c:v>100.3</c:v>
                </c:pt>
              </c:numCache>
            </c:numRef>
          </c:val>
          <c:smooth val="0"/>
        </c:ser>
        <c:dLbls>
          <c:showLegendKey val="0"/>
          <c:showVal val="0"/>
          <c:showCatName val="0"/>
          <c:showSerName val="0"/>
          <c:showPercent val="0"/>
          <c:showBubbleSize val="0"/>
        </c:dLbls>
        <c:marker val="1"/>
        <c:smooth val="0"/>
        <c:axId val="130900352"/>
        <c:axId val="130901888"/>
      </c:lineChart>
      <c:catAx>
        <c:axId val="130900352"/>
        <c:scaling>
          <c:orientation val="minMax"/>
        </c:scaling>
        <c:delete val="0"/>
        <c:axPos val="b"/>
        <c:numFmt formatCode="General" sourceLinked="1"/>
        <c:majorTickMark val="out"/>
        <c:minorTickMark val="none"/>
        <c:tickLblPos val="nextTo"/>
        <c:crossAx val="130901888"/>
        <c:crosses val="autoZero"/>
        <c:auto val="1"/>
        <c:lblAlgn val="ctr"/>
        <c:lblOffset val="100"/>
        <c:noMultiLvlLbl val="0"/>
      </c:catAx>
      <c:valAx>
        <c:axId val="130901888"/>
        <c:scaling>
          <c:orientation val="minMax"/>
        </c:scaling>
        <c:delete val="0"/>
        <c:axPos val="l"/>
        <c:majorGridlines/>
        <c:numFmt formatCode="General" sourceLinked="1"/>
        <c:majorTickMark val="out"/>
        <c:minorTickMark val="none"/>
        <c:tickLblPos val="nextTo"/>
        <c:crossAx val="130900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1369</Words>
  <Characters>9160</Characters>
  <Application>Microsoft Office Word</Application>
  <DocSecurity>0</DocSecurity>
  <Lines>232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4</cp:revision>
  <dcterms:created xsi:type="dcterms:W3CDTF">2012-02-23T14:14:00Z</dcterms:created>
  <dcterms:modified xsi:type="dcterms:W3CDTF">2013-03-15T16:36:00Z</dcterms:modified>
</cp:coreProperties>
</file>