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6C" w:rsidRDefault="000007AF" w:rsidP="00000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Використовуючи статистичну звітність 1-ПВ «Звіт з праці» Головного управління праці та соціального захисту населення ОДА, здійснити:</w:t>
      </w:r>
    </w:p>
    <w:p w:rsidR="000007AF" w:rsidRDefault="000007AF" w:rsidP="00000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динамічний аналіз середньооблікової кількості штатних працівників облікового складу за 3 останні роки;</w:t>
      </w:r>
    </w:p>
    <w:p w:rsidR="000007AF" w:rsidRDefault="000007AF" w:rsidP="00000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динамічний аналіз ФОП штатних працівників за 3 останні роки;</w:t>
      </w:r>
    </w:p>
    <w:p w:rsidR="000007AF" w:rsidRDefault="000007AF" w:rsidP="00000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динамічний аналіз середньомісячної ЗП штатних працівників за 3 останні роки;</w:t>
      </w:r>
    </w:p>
    <w:p w:rsidR="000007AF" w:rsidRDefault="000007AF" w:rsidP="00000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динамку показників зобразити графічно;</w:t>
      </w:r>
    </w:p>
    <w:p w:rsidR="000007AF" w:rsidRDefault="000007AF" w:rsidP="00000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висновки (аналіз і пропозиції).</w:t>
      </w:r>
    </w:p>
    <w:p w:rsidR="00D348DE" w:rsidRPr="00C43CCB" w:rsidRDefault="00C90C9E" w:rsidP="00C90C9E">
      <w:pPr>
        <w:pStyle w:val="a3"/>
        <w:spacing w:after="0" w:line="240" w:lineRule="auto"/>
        <w:ind w:left="128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CCB">
        <w:rPr>
          <w:rFonts w:ascii="Times New Roman" w:hAnsi="Times New Roman" w:cs="Times New Roman"/>
          <w:b/>
          <w:sz w:val="28"/>
          <w:szCs w:val="28"/>
          <w:lang w:val="uk-UA"/>
        </w:rPr>
        <w:t>Таблиця 1.1.</w:t>
      </w:r>
    </w:p>
    <w:p w:rsidR="00D348DE" w:rsidRPr="00C43CCB" w:rsidRDefault="00C43CCB" w:rsidP="00C90C9E">
      <w:pPr>
        <w:pStyle w:val="a3"/>
        <w:spacing w:after="0" w:line="240" w:lineRule="auto"/>
        <w:ind w:left="128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3CCB">
        <w:rPr>
          <w:rFonts w:ascii="Times New Roman" w:hAnsi="Times New Roman" w:cs="Times New Roman"/>
          <w:i/>
          <w:sz w:val="28"/>
          <w:szCs w:val="28"/>
          <w:lang w:val="uk-UA"/>
        </w:rPr>
        <w:t>Динаміка показників</w:t>
      </w:r>
      <w:r w:rsidR="00C90C9E" w:rsidRPr="00C43C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OLE_LINK1"/>
      <w:bookmarkStart w:id="1" w:name="OLE_LINK2"/>
      <w:r w:rsidR="00C90C9E" w:rsidRPr="00C43CCB">
        <w:rPr>
          <w:rFonts w:ascii="Times New Roman" w:hAnsi="Times New Roman" w:cs="Times New Roman"/>
          <w:i/>
          <w:sz w:val="28"/>
          <w:szCs w:val="28"/>
          <w:lang w:val="uk-UA"/>
        </w:rPr>
        <w:t>звіту 1-ПВ «Звіт з праці» Головного управління праці та соціального захисту населення ОДА</w:t>
      </w:r>
      <w:bookmarkEnd w:id="0"/>
      <w:bookmarkEnd w:id="1"/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567"/>
        <w:gridCol w:w="3356"/>
        <w:gridCol w:w="987"/>
        <w:gridCol w:w="987"/>
        <w:gridCol w:w="876"/>
        <w:gridCol w:w="1386"/>
        <w:gridCol w:w="1303"/>
      </w:tblGrid>
      <w:tr w:rsidR="004224F6" w:rsidTr="00C90C9E">
        <w:trPr>
          <w:trHeight w:val="255"/>
        </w:trPr>
        <w:tc>
          <w:tcPr>
            <w:tcW w:w="567" w:type="dxa"/>
            <w:vMerge w:val="restart"/>
          </w:tcPr>
          <w:p w:rsidR="004224F6" w:rsidRPr="00E03A4A" w:rsidRDefault="004224F6" w:rsidP="00A152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3A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356" w:type="dxa"/>
            <w:vMerge w:val="restart"/>
          </w:tcPr>
          <w:p w:rsidR="004224F6" w:rsidRPr="00E03A4A" w:rsidRDefault="004224F6" w:rsidP="00A15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3A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</w:tcPr>
          <w:p w:rsidR="004224F6" w:rsidRPr="00E03A4A" w:rsidRDefault="004224F6" w:rsidP="00A15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386" w:type="dxa"/>
            <w:vMerge w:val="restart"/>
          </w:tcPr>
          <w:p w:rsidR="004224F6" w:rsidRPr="00E03A4A" w:rsidRDefault="004224F6" w:rsidP="00A15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3A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Темп росту 2010/2008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%</w:t>
            </w:r>
          </w:p>
        </w:tc>
        <w:tc>
          <w:tcPr>
            <w:tcW w:w="1303" w:type="dxa"/>
            <w:vMerge w:val="restart"/>
          </w:tcPr>
          <w:p w:rsidR="004224F6" w:rsidRPr="00E03A4A" w:rsidRDefault="004224F6" w:rsidP="00A15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3A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Темп росту 2010/2009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%</w:t>
            </w:r>
          </w:p>
        </w:tc>
      </w:tr>
      <w:tr w:rsidR="004224F6" w:rsidTr="00C90C9E">
        <w:trPr>
          <w:trHeight w:val="840"/>
        </w:trPr>
        <w:tc>
          <w:tcPr>
            <w:tcW w:w="567" w:type="dxa"/>
            <w:vMerge/>
          </w:tcPr>
          <w:p w:rsidR="004224F6" w:rsidRPr="00E03A4A" w:rsidRDefault="004224F6" w:rsidP="00A152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356" w:type="dxa"/>
            <w:vMerge/>
          </w:tcPr>
          <w:p w:rsidR="004224F6" w:rsidRPr="00E03A4A" w:rsidRDefault="004224F6" w:rsidP="00A15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4224F6" w:rsidRDefault="004224F6" w:rsidP="00A15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3A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2008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4224F6" w:rsidRDefault="004224F6" w:rsidP="00A15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3A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2009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4224F6" w:rsidRDefault="004224F6" w:rsidP="00A15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3A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2010</w:t>
            </w:r>
          </w:p>
        </w:tc>
        <w:tc>
          <w:tcPr>
            <w:tcW w:w="1386" w:type="dxa"/>
            <w:vMerge/>
          </w:tcPr>
          <w:p w:rsidR="004224F6" w:rsidRPr="00E03A4A" w:rsidRDefault="004224F6" w:rsidP="00A15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vMerge/>
          </w:tcPr>
          <w:p w:rsidR="004224F6" w:rsidRPr="00E03A4A" w:rsidRDefault="004224F6" w:rsidP="00A15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E03A4A" w:rsidTr="00C90C9E">
        <w:tc>
          <w:tcPr>
            <w:tcW w:w="567" w:type="dxa"/>
          </w:tcPr>
          <w:p w:rsidR="00A152C7" w:rsidRPr="00E03A4A" w:rsidRDefault="00A152C7" w:rsidP="00A152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3A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356" w:type="dxa"/>
          </w:tcPr>
          <w:p w:rsidR="00A152C7" w:rsidRPr="00A152C7" w:rsidRDefault="00A152C7" w:rsidP="00E03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Середньооблікова кількість штатних працівників облікового складу</w:t>
            </w:r>
            <w:r w:rsidR="00E0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21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987" w:type="dxa"/>
          </w:tcPr>
          <w:p w:rsidR="00A152C7" w:rsidRPr="00E03A4A" w:rsidRDefault="00E03A4A" w:rsidP="00F2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87" w:type="dxa"/>
          </w:tcPr>
          <w:p w:rsidR="00A152C7" w:rsidRPr="00E03A4A" w:rsidRDefault="00E03A4A" w:rsidP="00F2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76" w:type="dxa"/>
          </w:tcPr>
          <w:p w:rsidR="00A152C7" w:rsidRPr="00E03A4A" w:rsidRDefault="00E03A4A" w:rsidP="00F2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386" w:type="dxa"/>
          </w:tcPr>
          <w:p w:rsidR="00A152C7" w:rsidRPr="00E03A4A" w:rsidRDefault="00E03A4A" w:rsidP="00F2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F21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303" w:type="dxa"/>
          </w:tcPr>
          <w:p w:rsidR="00A152C7" w:rsidRPr="00E03A4A" w:rsidRDefault="00F217A0" w:rsidP="00F2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91,1</w:t>
            </w:r>
          </w:p>
        </w:tc>
      </w:tr>
      <w:tr w:rsidR="00E03A4A" w:rsidTr="00C90C9E">
        <w:tc>
          <w:tcPr>
            <w:tcW w:w="567" w:type="dxa"/>
          </w:tcPr>
          <w:p w:rsidR="00A152C7" w:rsidRPr="00E03A4A" w:rsidRDefault="00E03A4A" w:rsidP="00A152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3A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356" w:type="dxa"/>
          </w:tcPr>
          <w:p w:rsidR="00A152C7" w:rsidRPr="00E03A4A" w:rsidRDefault="00E03A4A" w:rsidP="00E03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штатних працівників</w:t>
            </w:r>
            <w:r w:rsidR="005B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21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7" w:type="dxa"/>
          </w:tcPr>
          <w:p w:rsidR="00A152C7" w:rsidRPr="00E03A4A" w:rsidRDefault="00E03A4A" w:rsidP="00F2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1163,1</w:t>
            </w:r>
          </w:p>
        </w:tc>
        <w:tc>
          <w:tcPr>
            <w:tcW w:w="987" w:type="dxa"/>
          </w:tcPr>
          <w:p w:rsidR="00A152C7" w:rsidRPr="00E03A4A" w:rsidRDefault="00E03A4A" w:rsidP="00F2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1133,7</w:t>
            </w:r>
          </w:p>
        </w:tc>
        <w:tc>
          <w:tcPr>
            <w:tcW w:w="876" w:type="dxa"/>
          </w:tcPr>
          <w:p w:rsidR="00A152C7" w:rsidRPr="00E03A4A" w:rsidRDefault="00E03A4A" w:rsidP="00F2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1188,3</w:t>
            </w:r>
          </w:p>
        </w:tc>
        <w:tc>
          <w:tcPr>
            <w:tcW w:w="1386" w:type="dxa"/>
          </w:tcPr>
          <w:p w:rsidR="00A152C7" w:rsidRPr="00E03A4A" w:rsidRDefault="00F217A0" w:rsidP="00F2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102,2</w:t>
            </w:r>
          </w:p>
        </w:tc>
        <w:tc>
          <w:tcPr>
            <w:tcW w:w="1303" w:type="dxa"/>
          </w:tcPr>
          <w:p w:rsidR="00A152C7" w:rsidRPr="00E03A4A" w:rsidRDefault="00F217A0" w:rsidP="00F2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104,8</w:t>
            </w:r>
          </w:p>
        </w:tc>
      </w:tr>
      <w:tr w:rsidR="00E03A4A" w:rsidTr="00C90C9E">
        <w:tc>
          <w:tcPr>
            <w:tcW w:w="567" w:type="dxa"/>
          </w:tcPr>
          <w:p w:rsidR="00A152C7" w:rsidRPr="00E03A4A" w:rsidRDefault="00E03A4A" w:rsidP="00A152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3A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356" w:type="dxa"/>
          </w:tcPr>
          <w:p w:rsidR="00A152C7" w:rsidRPr="00E03A4A" w:rsidRDefault="00E03A4A" w:rsidP="00E03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Середньомісячна ЗП штатних працівників</w:t>
            </w:r>
            <w:r w:rsidR="005B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21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987" w:type="dxa"/>
          </w:tcPr>
          <w:p w:rsidR="00A152C7" w:rsidRPr="00784A24" w:rsidRDefault="009F6177" w:rsidP="001E6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1900,5</w:t>
            </w:r>
          </w:p>
        </w:tc>
        <w:tc>
          <w:tcPr>
            <w:tcW w:w="987" w:type="dxa"/>
          </w:tcPr>
          <w:p w:rsidR="00A152C7" w:rsidRPr="00E03A4A" w:rsidRDefault="009F6177" w:rsidP="001E6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1687,1</w:t>
            </w:r>
          </w:p>
        </w:tc>
        <w:tc>
          <w:tcPr>
            <w:tcW w:w="876" w:type="dxa"/>
          </w:tcPr>
          <w:p w:rsidR="00A152C7" w:rsidRPr="00E03A4A" w:rsidRDefault="009F6177" w:rsidP="001E6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1941,7</w:t>
            </w:r>
          </w:p>
        </w:tc>
        <w:tc>
          <w:tcPr>
            <w:tcW w:w="1386" w:type="dxa"/>
          </w:tcPr>
          <w:p w:rsidR="00A152C7" w:rsidRPr="00E03A4A" w:rsidRDefault="00784A24" w:rsidP="001E6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102,2</w:t>
            </w:r>
          </w:p>
        </w:tc>
        <w:tc>
          <w:tcPr>
            <w:tcW w:w="1303" w:type="dxa"/>
          </w:tcPr>
          <w:p w:rsidR="00A152C7" w:rsidRPr="00E03A4A" w:rsidRDefault="005B2F88" w:rsidP="001E6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115,1</w:t>
            </w:r>
          </w:p>
        </w:tc>
      </w:tr>
    </w:tbl>
    <w:p w:rsidR="00082E22" w:rsidRDefault="00082E22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Динаміку показників </w:t>
      </w:r>
      <w:r w:rsidRPr="00082E22">
        <w:rPr>
          <w:rFonts w:ascii="Times New Roman" w:hAnsi="Times New Roman" w:cs="Times New Roman"/>
          <w:sz w:val="28"/>
          <w:szCs w:val="28"/>
          <w:lang w:val="uk-UA"/>
        </w:rPr>
        <w:t>звіту 1-ПВ «Звіт з праці» Головного управління праці та соціального захисту населення 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зобразимо на рисунку 1.1.</w:t>
      </w:r>
    </w:p>
    <w:p w:rsidR="00082E22" w:rsidRDefault="00082E22" w:rsidP="00082E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2E22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5591175" cy="31051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52C7" w:rsidRDefault="006D14E4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Висновки: отже, проаналізувавши дані таблиці 1.1. спостерігається позитивна динаміка до збільшення показника середньооблікової кількості штатних працівників </w:t>
      </w:r>
      <w:r w:rsidR="00CD7C8E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lang w:val="uk-UA"/>
        </w:rPr>
        <w:t>у 2009 році</w:t>
      </w:r>
      <w:r w:rsidR="00CD7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75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7C8E">
        <w:rPr>
          <w:rFonts w:ascii="Times New Roman" w:hAnsi="Times New Roman" w:cs="Times New Roman"/>
          <w:sz w:val="28"/>
          <w:szCs w:val="28"/>
          <w:lang w:val="uk-UA"/>
        </w:rPr>
        <w:t>56 осіб</w:t>
      </w:r>
      <w:r w:rsidR="007F275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порівнянні з 2008 роком</w:t>
      </w:r>
      <w:r w:rsidR="00CD7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75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7C8E">
        <w:rPr>
          <w:rFonts w:ascii="Times New Roman" w:hAnsi="Times New Roman" w:cs="Times New Roman"/>
          <w:sz w:val="28"/>
          <w:szCs w:val="28"/>
          <w:lang w:val="uk-UA"/>
        </w:rPr>
        <w:t>51 особа</w:t>
      </w:r>
      <w:r w:rsidR="007F2754">
        <w:rPr>
          <w:rFonts w:ascii="Times New Roman" w:hAnsi="Times New Roman" w:cs="Times New Roman"/>
          <w:sz w:val="28"/>
          <w:szCs w:val="28"/>
          <w:lang w:val="uk-UA"/>
        </w:rPr>
        <w:t>) на 5 осіб,</w:t>
      </w:r>
      <w:r w:rsidR="00CD7C8E">
        <w:rPr>
          <w:rFonts w:ascii="Times New Roman" w:hAnsi="Times New Roman" w:cs="Times New Roman"/>
          <w:sz w:val="28"/>
          <w:szCs w:val="28"/>
          <w:lang w:val="uk-UA"/>
        </w:rPr>
        <w:t xml:space="preserve"> а щодо 2010 року в порівнянні з 2008 роком, то цей показник є незмінним</w:t>
      </w:r>
      <w:r w:rsidR="007F2754">
        <w:rPr>
          <w:rFonts w:ascii="Times New Roman" w:hAnsi="Times New Roman" w:cs="Times New Roman"/>
          <w:sz w:val="28"/>
          <w:szCs w:val="28"/>
          <w:lang w:val="uk-UA"/>
        </w:rPr>
        <w:t xml:space="preserve"> і становить 51 особу</w:t>
      </w:r>
      <w:r w:rsidR="00C97B30">
        <w:rPr>
          <w:rFonts w:ascii="Times New Roman" w:hAnsi="Times New Roman" w:cs="Times New Roman"/>
          <w:sz w:val="28"/>
          <w:szCs w:val="28"/>
          <w:lang w:val="uk-UA"/>
        </w:rPr>
        <w:t xml:space="preserve"> або 100%</w:t>
      </w:r>
      <w:r w:rsidR="007F2754">
        <w:rPr>
          <w:rFonts w:ascii="Times New Roman" w:hAnsi="Times New Roman" w:cs="Times New Roman"/>
          <w:sz w:val="28"/>
          <w:szCs w:val="28"/>
          <w:lang w:val="uk-UA"/>
        </w:rPr>
        <w:t>, в порівнянні з 2009 роком, то цей показник зменшився на 5 осіб</w:t>
      </w:r>
      <w:r w:rsidR="00C97B30">
        <w:rPr>
          <w:rFonts w:ascii="Times New Roman" w:hAnsi="Times New Roman" w:cs="Times New Roman"/>
          <w:sz w:val="28"/>
          <w:szCs w:val="28"/>
          <w:lang w:val="uk-UA"/>
        </w:rPr>
        <w:t xml:space="preserve"> або на 0,9%</w:t>
      </w:r>
      <w:r w:rsidR="007F2754">
        <w:rPr>
          <w:rFonts w:ascii="Times New Roman" w:hAnsi="Times New Roman" w:cs="Times New Roman"/>
          <w:sz w:val="28"/>
          <w:szCs w:val="28"/>
          <w:lang w:val="uk-UA"/>
        </w:rPr>
        <w:t xml:space="preserve">, що є негативним явищем для </w:t>
      </w:r>
      <w:r w:rsidR="007F2754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управління, адже зменшення кількості працівників на підприємствах призводить до безробіття.</w:t>
      </w:r>
      <w:r w:rsidR="00AE149B">
        <w:rPr>
          <w:rFonts w:ascii="Times New Roman" w:hAnsi="Times New Roman" w:cs="Times New Roman"/>
          <w:sz w:val="28"/>
          <w:szCs w:val="28"/>
          <w:lang w:val="uk-UA"/>
        </w:rPr>
        <w:t xml:space="preserve"> Ми бачимо зменшення ФОП штатних працівників у 2009 році на 29,4 тис.грн., що призвело до зменшення середньомісячної ЗП штатних працівників у 2009 році на </w:t>
      </w:r>
      <w:r w:rsidR="009F6177">
        <w:rPr>
          <w:rFonts w:ascii="Times New Roman" w:hAnsi="Times New Roman" w:cs="Times New Roman"/>
          <w:sz w:val="28"/>
          <w:szCs w:val="28"/>
          <w:lang w:val="uk-UA"/>
        </w:rPr>
        <w:t xml:space="preserve">213,4 </w:t>
      </w:r>
      <w:r w:rsidR="00AE149B">
        <w:rPr>
          <w:rFonts w:ascii="Times New Roman" w:hAnsi="Times New Roman" w:cs="Times New Roman"/>
          <w:sz w:val="28"/>
          <w:szCs w:val="28"/>
          <w:lang w:val="uk-UA"/>
        </w:rPr>
        <w:t xml:space="preserve">грн. в порівнянні з 2008 роком, що є негативним для управління. </w:t>
      </w:r>
      <w:r w:rsidR="00AE149B" w:rsidRPr="00AE149B">
        <w:rPr>
          <w:rFonts w:ascii="Times New Roman" w:hAnsi="Times New Roman" w:cs="Times New Roman"/>
          <w:sz w:val="28"/>
          <w:szCs w:val="28"/>
          <w:lang w:val="uk-UA"/>
        </w:rPr>
        <w:t xml:space="preserve">Така негативна тенденція може призвести до </w:t>
      </w:r>
      <w:r w:rsidR="00C97B30">
        <w:rPr>
          <w:rFonts w:ascii="Times New Roman" w:hAnsi="Times New Roman" w:cs="Times New Roman"/>
          <w:sz w:val="28"/>
          <w:szCs w:val="28"/>
          <w:lang w:val="uk-UA"/>
        </w:rPr>
        <w:t>появи</w:t>
      </w:r>
      <w:r w:rsidR="00AE149B" w:rsidRPr="00AE149B">
        <w:rPr>
          <w:rFonts w:ascii="Times New Roman" w:hAnsi="Times New Roman" w:cs="Times New Roman"/>
          <w:sz w:val="28"/>
          <w:szCs w:val="28"/>
          <w:lang w:val="uk-UA"/>
        </w:rPr>
        <w:t xml:space="preserve"> страйків і зниження продуктивності праці</w:t>
      </w:r>
      <w:r w:rsidR="00C97B30"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w:r w:rsidR="00C97B30" w:rsidRPr="00C97B30">
        <w:rPr>
          <w:rFonts w:ascii="Times New Roman" w:hAnsi="Times New Roman" w:cs="Times New Roman"/>
          <w:sz w:val="28"/>
          <w:szCs w:val="28"/>
          <w:lang w:val="uk-UA"/>
        </w:rPr>
        <w:t xml:space="preserve">яке свідчить про неплатоспроможність </w:t>
      </w:r>
      <w:r w:rsidR="00C97B30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C97B30" w:rsidRPr="00C97B30">
        <w:rPr>
          <w:rFonts w:ascii="Times New Roman" w:hAnsi="Times New Roman" w:cs="Times New Roman"/>
          <w:sz w:val="28"/>
          <w:szCs w:val="28"/>
          <w:lang w:val="uk-UA"/>
        </w:rPr>
        <w:t xml:space="preserve"> і незадоволення працівників</w:t>
      </w:r>
      <w:r w:rsidR="00C97B30">
        <w:rPr>
          <w:rFonts w:ascii="Times New Roman" w:hAnsi="Times New Roman" w:cs="Times New Roman"/>
          <w:sz w:val="28"/>
          <w:szCs w:val="28"/>
          <w:lang w:val="uk-UA"/>
        </w:rPr>
        <w:t>, а також т</w:t>
      </w:r>
      <w:r w:rsidR="00C97B30" w:rsidRPr="00C97B30">
        <w:rPr>
          <w:rFonts w:ascii="Times New Roman" w:hAnsi="Times New Roman" w:cs="Times New Roman"/>
          <w:sz w:val="28"/>
          <w:szCs w:val="28"/>
          <w:lang w:val="uk-UA"/>
        </w:rPr>
        <w:t>акі зміни однозначно призведуть до масових звільн</w:t>
      </w:r>
      <w:r w:rsidR="00C97B30">
        <w:rPr>
          <w:rFonts w:ascii="Times New Roman" w:hAnsi="Times New Roman" w:cs="Times New Roman"/>
          <w:sz w:val="28"/>
          <w:szCs w:val="28"/>
          <w:lang w:val="uk-UA"/>
        </w:rPr>
        <w:t>ень за власним бажанням, що принесе погані наслідки</w:t>
      </w:r>
      <w:r w:rsidR="00AE149B" w:rsidRPr="00AE14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149B">
        <w:rPr>
          <w:rFonts w:ascii="Times New Roman" w:hAnsi="Times New Roman" w:cs="Times New Roman"/>
          <w:sz w:val="28"/>
          <w:szCs w:val="28"/>
          <w:lang w:val="uk-UA"/>
        </w:rPr>
        <w:t xml:space="preserve"> Але далі в 2010 році спостерігається збільшення ФОП штатних працівників з 2009 рок</w:t>
      </w:r>
      <w:r w:rsidR="00C97B30">
        <w:rPr>
          <w:rFonts w:ascii="Times New Roman" w:hAnsi="Times New Roman" w:cs="Times New Roman"/>
          <w:sz w:val="28"/>
          <w:szCs w:val="28"/>
          <w:lang w:val="uk-UA"/>
        </w:rPr>
        <w:t xml:space="preserve">ом на 54,6 тис.грн. або на 4,8% </w:t>
      </w:r>
      <w:r w:rsidR="00AE149B">
        <w:rPr>
          <w:rFonts w:ascii="Times New Roman" w:hAnsi="Times New Roman" w:cs="Times New Roman"/>
          <w:sz w:val="28"/>
          <w:szCs w:val="28"/>
          <w:lang w:val="uk-UA"/>
        </w:rPr>
        <w:t xml:space="preserve">та середньомісячної ЗП штатних працівників </w:t>
      </w:r>
      <w:r w:rsidR="009F6177">
        <w:rPr>
          <w:rFonts w:ascii="Times New Roman" w:hAnsi="Times New Roman" w:cs="Times New Roman"/>
          <w:sz w:val="28"/>
          <w:szCs w:val="28"/>
          <w:lang w:val="uk-UA"/>
        </w:rPr>
        <w:t>на 254,6</w:t>
      </w:r>
      <w:r w:rsidR="00C97B30">
        <w:rPr>
          <w:rFonts w:ascii="Times New Roman" w:hAnsi="Times New Roman" w:cs="Times New Roman"/>
          <w:sz w:val="28"/>
          <w:szCs w:val="28"/>
          <w:lang w:val="uk-UA"/>
        </w:rPr>
        <w:t xml:space="preserve"> тис.грн. </w:t>
      </w:r>
      <w:r w:rsidR="009F6177">
        <w:rPr>
          <w:rFonts w:ascii="Times New Roman" w:hAnsi="Times New Roman" w:cs="Times New Roman"/>
          <w:sz w:val="28"/>
          <w:szCs w:val="28"/>
          <w:lang w:val="uk-UA"/>
        </w:rPr>
        <w:t>або на 15,1</w:t>
      </w:r>
      <w:r w:rsidR="00C97B30">
        <w:rPr>
          <w:rFonts w:ascii="Times New Roman" w:hAnsi="Times New Roman" w:cs="Times New Roman"/>
          <w:sz w:val="28"/>
          <w:szCs w:val="28"/>
          <w:lang w:val="uk-UA"/>
        </w:rPr>
        <w:t xml:space="preserve">%, що оцінюється позитивно. Збільшення показника ФОП штатних працівників </w:t>
      </w:r>
      <w:r w:rsidR="00C97B30" w:rsidRPr="00C97B30">
        <w:rPr>
          <w:rFonts w:ascii="Times New Roman" w:hAnsi="Times New Roman" w:cs="Times New Roman"/>
          <w:sz w:val="28"/>
          <w:szCs w:val="28"/>
          <w:lang w:val="uk-UA"/>
        </w:rPr>
        <w:t xml:space="preserve">з однієї сторони є позитивним для </w:t>
      </w:r>
      <w:r w:rsidR="00C97B30">
        <w:rPr>
          <w:rFonts w:ascii="Times New Roman" w:hAnsi="Times New Roman" w:cs="Times New Roman"/>
          <w:sz w:val="28"/>
          <w:szCs w:val="28"/>
          <w:lang w:val="uk-UA"/>
        </w:rPr>
        <w:t>управління, т</w:t>
      </w:r>
      <w:r w:rsidR="00C97B30" w:rsidRPr="00C97B30">
        <w:rPr>
          <w:rFonts w:ascii="Times New Roman" w:hAnsi="Times New Roman" w:cs="Times New Roman"/>
          <w:sz w:val="28"/>
          <w:szCs w:val="28"/>
          <w:lang w:val="uk-UA"/>
        </w:rPr>
        <w:t>ому що оплат</w:t>
      </w:r>
      <w:r w:rsidR="00C97B30">
        <w:rPr>
          <w:rFonts w:ascii="Times New Roman" w:hAnsi="Times New Roman" w:cs="Times New Roman"/>
          <w:sz w:val="28"/>
          <w:szCs w:val="28"/>
          <w:lang w:val="uk-UA"/>
        </w:rPr>
        <w:t>а праці несе для нього витрати</w:t>
      </w:r>
      <w:r w:rsidR="00F27B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7B79" w:rsidRDefault="00F27B79" w:rsidP="00F2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B79">
        <w:rPr>
          <w:rFonts w:ascii="Times New Roman" w:hAnsi="Times New Roman" w:cs="Times New Roman"/>
          <w:sz w:val="28"/>
          <w:szCs w:val="28"/>
          <w:lang w:val="uk-UA"/>
        </w:rPr>
        <w:t>Тому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7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Головному управлінні праці та соціального захисту населення ОДА</w:t>
      </w:r>
      <w:r w:rsidRPr="00F27B79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звернути увагу на фонд оплати праці, підвищити заробітну плату, що буде стимулом для робітників і, можливо, підвищить їх продуктивність пр</w:t>
      </w:r>
      <w:r>
        <w:rPr>
          <w:rFonts w:ascii="Times New Roman" w:hAnsi="Times New Roman" w:cs="Times New Roman"/>
          <w:sz w:val="28"/>
          <w:szCs w:val="28"/>
          <w:lang w:val="uk-UA"/>
        </w:rPr>
        <w:t>аці.</w:t>
      </w:r>
    </w:p>
    <w:p w:rsidR="00F27B79" w:rsidRDefault="00F27B79" w:rsidP="00F2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B79">
        <w:rPr>
          <w:rFonts w:ascii="Times New Roman" w:hAnsi="Times New Roman" w:cs="Times New Roman"/>
          <w:sz w:val="28"/>
          <w:szCs w:val="28"/>
          <w:lang w:val="uk-UA"/>
        </w:rPr>
        <w:t>Звичайно, є й інший аспект цієї проблеми – навмисне замовчування реальних доходів працівників з метою сплати у державний бюджет менших податків. Це явище є негативним для української економіки, тому цю проблему потрібно вир</w:t>
      </w:r>
      <w:r>
        <w:rPr>
          <w:rFonts w:ascii="Times New Roman" w:hAnsi="Times New Roman" w:cs="Times New Roman"/>
          <w:sz w:val="28"/>
          <w:szCs w:val="28"/>
          <w:lang w:val="uk-UA"/>
        </w:rPr>
        <w:t>ішувати не на рівні управління</w:t>
      </w:r>
      <w:r w:rsidRPr="00F27B79">
        <w:rPr>
          <w:rFonts w:ascii="Times New Roman" w:hAnsi="Times New Roman" w:cs="Times New Roman"/>
          <w:sz w:val="28"/>
          <w:szCs w:val="28"/>
          <w:lang w:val="uk-UA"/>
        </w:rPr>
        <w:t>, а на рівні держави.</w:t>
      </w:r>
    </w:p>
    <w:p w:rsidR="00F27B79" w:rsidRPr="00F27B79" w:rsidRDefault="00F27B79" w:rsidP="00F2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B79" w:rsidRPr="00F27B79" w:rsidRDefault="00F27B79" w:rsidP="00F2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B79" w:rsidRDefault="00F27B79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22" w:rsidRDefault="00082E22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22" w:rsidRDefault="00082E22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22" w:rsidRDefault="00082E22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22" w:rsidRDefault="00082E22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22" w:rsidRDefault="00082E22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22" w:rsidRDefault="00082E22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22" w:rsidRDefault="00082E22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22" w:rsidRDefault="00082E22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22" w:rsidRDefault="00082E22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22" w:rsidRDefault="00082E22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22" w:rsidRDefault="00082E22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22" w:rsidRDefault="00082E22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E22" w:rsidRPr="00AE149B" w:rsidRDefault="00082E22" w:rsidP="00C9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7A0" w:rsidRDefault="00F217A0" w:rsidP="00A15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7A0" w:rsidRDefault="00F217A0" w:rsidP="00A15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7A0" w:rsidRDefault="00F217A0" w:rsidP="00A15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7A0" w:rsidRDefault="00F217A0" w:rsidP="00A15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7A0" w:rsidRDefault="00F217A0" w:rsidP="00A15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7A0" w:rsidRDefault="00F217A0" w:rsidP="00A15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7A0" w:rsidRDefault="00F217A0" w:rsidP="00C9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7A0" w:rsidRPr="00D348DE" w:rsidRDefault="00F217A0" w:rsidP="00D348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8D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Використовуючи статистичну звітність 6-ПВ «Звіт про кількість праці</w:t>
      </w:r>
      <w:r w:rsidR="005C4FED" w:rsidRPr="00D348DE">
        <w:rPr>
          <w:rFonts w:ascii="Times New Roman" w:hAnsi="Times New Roman" w:cs="Times New Roman"/>
          <w:sz w:val="28"/>
          <w:szCs w:val="28"/>
          <w:lang w:val="uk-UA"/>
        </w:rPr>
        <w:t>вників, їхній якісний склад та професійне навчання» Головного управління праці та соціального захисту населення ОДА</w:t>
      </w:r>
      <w:r w:rsidR="00D348DE">
        <w:rPr>
          <w:rFonts w:ascii="Times New Roman" w:hAnsi="Times New Roman" w:cs="Times New Roman"/>
          <w:sz w:val="28"/>
          <w:szCs w:val="28"/>
          <w:lang w:val="uk-UA"/>
        </w:rPr>
        <w:t xml:space="preserve"> за 3 останні роки</w:t>
      </w:r>
      <w:r w:rsidR="005C4FED" w:rsidRPr="00D348DE">
        <w:rPr>
          <w:rFonts w:ascii="Times New Roman" w:hAnsi="Times New Roman" w:cs="Times New Roman"/>
          <w:sz w:val="28"/>
          <w:szCs w:val="28"/>
          <w:lang w:val="uk-UA"/>
        </w:rPr>
        <w:t>, здійснити:</w:t>
      </w:r>
    </w:p>
    <w:p w:rsidR="005C4FED" w:rsidRDefault="005C4FED" w:rsidP="005C4F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динамічний аналіз:</w:t>
      </w:r>
    </w:p>
    <w:p w:rsidR="005C4FED" w:rsidRDefault="005C4FED" w:rsidP="005C4F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облікової кількості штатних працівників;</w:t>
      </w:r>
    </w:p>
    <w:p w:rsidR="005C4FED" w:rsidRDefault="005C4FED" w:rsidP="005C4F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підготовки кадрів;</w:t>
      </w:r>
    </w:p>
    <w:p w:rsidR="005C4FED" w:rsidRDefault="005C4FED" w:rsidP="005C4F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працівників.</w:t>
      </w:r>
    </w:p>
    <w:p w:rsidR="005C4FED" w:rsidRDefault="005C4FED" w:rsidP="005C4F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структурний аналіз:</w:t>
      </w:r>
    </w:p>
    <w:p w:rsidR="005C4FED" w:rsidRDefault="005C4FED" w:rsidP="005C4FED">
      <w:pPr>
        <w:pStyle w:val="a3"/>
        <w:numPr>
          <w:ilvl w:val="0"/>
          <w:numId w:val="7"/>
        </w:numPr>
        <w:spacing w:after="0" w:line="240" w:lineRule="auto"/>
        <w:ind w:left="2410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кількості працюючих за віком;</w:t>
      </w:r>
    </w:p>
    <w:p w:rsidR="005C4FED" w:rsidRDefault="005C4FED" w:rsidP="005C4FED">
      <w:pPr>
        <w:pStyle w:val="a3"/>
        <w:numPr>
          <w:ilvl w:val="0"/>
          <w:numId w:val="7"/>
        </w:numPr>
        <w:spacing w:after="0" w:line="240" w:lineRule="auto"/>
        <w:ind w:left="2410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кількості працюючих за освітніми рівнями;</w:t>
      </w:r>
    </w:p>
    <w:p w:rsidR="005C4FED" w:rsidRDefault="005C4FED" w:rsidP="005C4FED">
      <w:pPr>
        <w:pStyle w:val="a3"/>
        <w:numPr>
          <w:ilvl w:val="0"/>
          <w:numId w:val="7"/>
        </w:numPr>
        <w:spacing w:after="0" w:line="240" w:lineRule="auto"/>
        <w:ind w:left="2410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кількості працюючих, які отримують пенсію;</w:t>
      </w:r>
    </w:p>
    <w:p w:rsidR="005C4FED" w:rsidRDefault="005C4FED" w:rsidP="005C4FED">
      <w:pPr>
        <w:pStyle w:val="a3"/>
        <w:numPr>
          <w:ilvl w:val="0"/>
          <w:numId w:val="7"/>
        </w:numPr>
        <w:spacing w:after="0" w:line="240" w:lineRule="auto"/>
        <w:ind w:left="2410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кількості працюючих, яких було навчено новим професіям (безпосередньо на виробництві та в навчальних закладах різних типів за договорами);</w:t>
      </w:r>
    </w:p>
    <w:p w:rsidR="005C4FED" w:rsidRDefault="00D348DE" w:rsidP="00D348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висновки (аналіз і пропозиції).</w:t>
      </w:r>
    </w:p>
    <w:p w:rsidR="009F6177" w:rsidRPr="009F6177" w:rsidRDefault="009F6177" w:rsidP="009F6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Pr="009F61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F6177" w:rsidRPr="009F6177" w:rsidRDefault="009F6177" w:rsidP="009F61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6177">
        <w:rPr>
          <w:rFonts w:ascii="Times New Roman" w:hAnsi="Times New Roman" w:cs="Times New Roman"/>
          <w:i/>
          <w:sz w:val="28"/>
          <w:szCs w:val="28"/>
          <w:lang w:val="uk-UA"/>
        </w:rPr>
        <w:t>Динаміка показників звіту 6-ПВ «Звіт про кількість працівників, їхній якісний склад та професійне навчання» Головного управління праці та соціального захисту населення ОДА</w:t>
      </w:r>
    </w:p>
    <w:tbl>
      <w:tblPr>
        <w:tblStyle w:val="a4"/>
        <w:tblW w:w="9923" w:type="dxa"/>
        <w:jc w:val="center"/>
        <w:tblInd w:w="-601" w:type="dxa"/>
        <w:tblLayout w:type="fixed"/>
        <w:tblLook w:val="04A0"/>
      </w:tblPr>
      <w:tblGrid>
        <w:gridCol w:w="425"/>
        <w:gridCol w:w="4158"/>
        <w:gridCol w:w="662"/>
        <w:gridCol w:w="709"/>
        <w:gridCol w:w="851"/>
        <w:gridCol w:w="1559"/>
        <w:gridCol w:w="1559"/>
      </w:tblGrid>
      <w:tr w:rsidR="009F6177" w:rsidRPr="00D3129A" w:rsidTr="00915AA3">
        <w:trPr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9F6177" w:rsidRPr="00085503" w:rsidRDefault="009F6177" w:rsidP="00915AA3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55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158" w:type="dxa"/>
            <w:vMerge w:val="restart"/>
            <w:tcBorders>
              <w:left w:val="single" w:sz="4" w:space="0" w:color="auto"/>
            </w:tcBorders>
          </w:tcPr>
          <w:p w:rsidR="009F6177" w:rsidRPr="00C90C9E" w:rsidRDefault="009F6177" w:rsidP="00915AA3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a5"/>
                <w:rFonts w:ascii="Times New Roman" w:hAnsi="Times New Roman" w:cs="Times New Roman"/>
                <w:i/>
                <w:color w:val="000000"/>
              </w:rPr>
              <w:t>П</w:t>
            </w:r>
            <w:r w:rsidRPr="00C90C9E">
              <w:rPr>
                <w:rStyle w:val="a5"/>
                <w:rFonts w:ascii="Times New Roman" w:hAnsi="Times New Roman" w:cs="Times New Roman"/>
                <w:i/>
                <w:color w:val="000000"/>
              </w:rPr>
              <w:t xml:space="preserve">оказники </w:t>
            </w:r>
          </w:p>
        </w:tc>
        <w:tc>
          <w:tcPr>
            <w:tcW w:w="2222" w:type="dxa"/>
            <w:gridSpan w:val="3"/>
          </w:tcPr>
          <w:p w:rsidR="009F6177" w:rsidRPr="00C90C9E" w:rsidRDefault="009F6177" w:rsidP="00915A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C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Роки</w:t>
            </w:r>
          </w:p>
        </w:tc>
        <w:tc>
          <w:tcPr>
            <w:tcW w:w="1559" w:type="dxa"/>
            <w:vMerge w:val="restart"/>
          </w:tcPr>
          <w:p w:rsidR="009F6177" w:rsidRPr="00C90C9E" w:rsidRDefault="009F6177" w:rsidP="00915A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C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Темпи росту</w:t>
            </w:r>
          </w:p>
          <w:p w:rsidR="009F6177" w:rsidRPr="00C90C9E" w:rsidRDefault="009F6177" w:rsidP="00915A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90C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2010/200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8, %</w:t>
            </w:r>
          </w:p>
        </w:tc>
        <w:tc>
          <w:tcPr>
            <w:tcW w:w="1559" w:type="dxa"/>
            <w:vMerge w:val="restart"/>
          </w:tcPr>
          <w:p w:rsidR="009F6177" w:rsidRPr="00C90C9E" w:rsidRDefault="009F6177" w:rsidP="00915A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C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Темпи росту</w:t>
            </w:r>
          </w:p>
          <w:p w:rsidR="009F6177" w:rsidRPr="00784A24" w:rsidRDefault="009F6177" w:rsidP="00915A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90C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2010/200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9, %</w:t>
            </w:r>
          </w:p>
        </w:tc>
      </w:tr>
      <w:tr w:rsidR="009F6177" w:rsidRPr="00D3129A" w:rsidTr="00915AA3">
        <w:trPr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F6177" w:rsidRPr="00085503" w:rsidRDefault="009F6177" w:rsidP="0091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</w:tcBorders>
          </w:tcPr>
          <w:p w:rsidR="009F6177" w:rsidRPr="00D3129A" w:rsidRDefault="009F6177" w:rsidP="0091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9F6177" w:rsidRPr="00C90C9E" w:rsidRDefault="009F6177" w:rsidP="00915A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C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2008</w:t>
            </w:r>
          </w:p>
        </w:tc>
        <w:tc>
          <w:tcPr>
            <w:tcW w:w="709" w:type="dxa"/>
          </w:tcPr>
          <w:p w:rsidR="009F6177" w:rsidRPr="00C90C9E" w:rsidRDefault="009F6177" w:rsidP="00915A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C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2009</w:t>
            </w:r>
          </w:p>
        </w:tc>
        <w:tc>
          <w:tcPr>
            <w:tcW w:w="851" w:type="dxa"/>
          </w:tcPr>
          <w:p w:rsidR="009F6177" w:rsidRPr="00C90C9E" w:rsidRDefault="009F6177" w:rsidP="00915A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C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2010</w:t>
            </w:r>
          </w:p>
        </w:tc>
        <w:tc>
          <w:tcPr>
            <w:tcW w:w="1559" w:type="dxa"/>
            <w:vMerge/>
          </w:tcPr>
          <w:p w:rsidR="009F6177" w:rsidRPr="00D3129A" w:rsidRDefault="009F6177" w:rsidP="0091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6177" w:rsidRPr="00D3129A" w:rsidRDefault="009F6177" w:rsidP="0091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77" w:rsidRPr="00085503" w:rsidTr="00915AA3">
        <w:trPr>
          <w:jc w:val="center"/>
        </w:trPr>
        <w:tc>
          <w:tcPr>
            <w:tcW w:w="425" w:type="dxa"/>
            <w:tcBorders>
              <w:right w:val="single" w:sz="4" w:space="0" w:color="auto"/>
            </w:tcBorders>
          </w:tcPr>
          <w:p w:rsidR="009F6177" w:rsidRPr="00C90C9E" w:rsidRDefault="009F6177" w:rsidP="00915AA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90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9F6177" w:rsidRPr="00C90C9E" w:rsidRDefault="009F6177" w:rsidP="00915AA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uk-UA"/>
              </w:rPr>
            </w:pPr>
            <w:r w:rsidRPr="00C90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Облікова кількість штатних працівників на кінець звітного періоду, всього осіб</w:t>
            </w:r>
          </w:p>
        </w:tc>
        <w:tc>
          <w:tcPr>
            <w:tcW w:w="662" w:type="dxa"/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96,08</w:t>
            </w:r>
          </w:p>
        </w:tc>
        <w:tc>
          <w:tcPr>
            <w:tcW w:w="1559" w:type="dxa"/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9F6177" w:rsidRPr="00085503" w:rsidTr="00915AA3">
        <w:trPr>
          <w:trHeight w:val="117"/>
          <w:jc w:val="center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F6177" w:rsidRPr="00C90C9E" w:rsidRDefault="009F6177" w:rsidP="00915AA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90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</w:tcBorders>
          </w:tcPr>
          <w:p w:rsidR="009F6177" w:rsidRPr="00C90C9E" w:rsidRDefault="009F6177" w:rsidP="00915AA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uk-UA"/>
              </w:rPr>
            </w:pPr>
            <w:r w:rsidRPr="00C90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90C9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ідготовк</w:t>
            </w:r>
            <w:r w:rsidRPr="00C90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90C9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кадрів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177" w:rsidRPr="00085503" w:rsidTr="00915AA3">
        <w:trPr>
          <w:trHeight w:val="135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7" w:rsidRPr="00C90C9E" w:rsidRDefault="009F6177" w:rsidP="00915AA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90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177" w:rsidRPr="00C90C9E" w:rsidRDefault="009F6177" w:rsidP="00915AA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uk-UA"/>
              </w:rPr>
            </w:pPr>
            <w:r w:rsidRPr="00C90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90C9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ідвищ</w:t>
            </w:r>
            <w:r w:rsidRPr="00C90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  <w:r w:rsidRPr="00C90C9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кваліфікаці</w:t>
            </w:r>
            <w:r w:rsidRPr="00C90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всього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177" w:rsidRPr="00085503" w:rsidRDefault="009F6177" w:rsidP="009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</w:tr>
    </w:tbl>
    <w:p w:rsidR="009F6177" w:rsidRDefault="009F6177" w:rsidP="00082E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8DE" w:rsidRPr="00C43CCB" w:rsidRDefault="009F6177" w:rsidP="00C90C9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Таблиця 2.2</w:t>
      </w:r>
      <w:r w:rsidR="00C90C9E" w:rsidRPr="00C43C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348DE" w:rsidRPr="00C43CCB" w:rsidRDefault="00C43CCB" w:rsidP="00C90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3CCB">
        <w:rPr>
          <w:rFonts w:ascii="Times New Roman" w:hAnsi="Times New Roman" w:cs="Times New Roman"/>
          <w:i/>
          <w:sz w:val="28"/>
          <w:szCs w:val="28"/>
          <w:lang w:val="uk-UA"/>
        </w:rPr>
        <w:t>Структура п</w:t>
      </w:r>
      <w:r w:rsidR="00C90C9E" w:rsidRPr="00C43CCB">
        <w:rPr>
          <w:rFonts w:ascii="Times New Roman" w:hAnsi="Times New Roman" w:cs="Times New Roman"/>
          <w:i/>
          <w:sz w:val="28"/>
          <w:szCs w:val="28"/>
          <w:lang w:val="uk-UA"/>
        </w:rPr>
        <w:t>ока</w:t>
      </w:r>
      <w:r w:rsidRPr="00C43CCB">
        <w:rPr>
          <w:rFonts w:ascii="Times New Roman" w:hAnsi="Times New Roman" w:cs="Times New Roman"/>
          <w:i/>
          <w:sz w:val="28"/>
          <w:szCs w:val="28"/>
          <w:lang w:val="uk-UA"/>
        </w:rPr>
        <w:t>зників</w:t>
      </w:r>
      <w:r w:rsidR="00C90C9E" w:rsidRPr="00C43C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звіту 6-ПВ «Звіт про кількість працівників, їхній якісний склад та професійне навчання» Головного управління праці та соціального захисту населення ОДА</w:t>
      </w:r>
    </w:p>
    <w:tbl>
      <w:tblPr>
        <w:tblStyle w:val="a4"/>
        <w:tblW w:w="0" w:type="auto"/>
        <w:tblLayout w:type="fixed"/>
        <w:tblLook w:val="04A0"/>
      </w:tblPr>
      <w:tblGrid>
        <w:gridCol w:w="735"/>
        <w:gridCol w:w="1925"/>
        <w:gridCol w:w="709"/>
        <w:gridCol w:w="708"/>
        <w:gridCol w:w="709"/>
        <w:gridCol w:w="709"/>
        <w:gridCol w:w="709"/>
        <w:gridCol w:w="708"/>
        <w:gridCol w:w="1537"/>
        <w:gridCol w:w="1405"/>
      </w:tblGrid>
      <w:tr w:rsidR="00D348DE" w:rsidTr="00D348DE">
        <w:trPr>
          <w:trHeight w:val="345"/>
        </w:trPr>
        <w:tc>
          <w:tcPr>
            <w:tcW w:w="735" w:type="dxa"/>
            <w:vMerge w:val="restart"/>
          </w:tcPr>
          <w:p w:rsidR="00D348DE" w:rsidRPr="00D348DE" w:rsidRDefault="00D348DE" w:rsidP="00D348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48D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925" w:type="dxa"/>
            <w:vMerge w:val="restart"/>
          </w:tcPr>
          <w:p w:rsidR="00D348DE" w:rsidRPr="00D348DE" w:rsidRDefault="00D348DE" w:rsidP="00D348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48D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348DE" w:rsidRPr="00D348DE" w:rsidRDefault="00D348DE" w:rsidP="00D348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48D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2008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48DE" w:rsidRPr="00D348DE" w:rsidRDefault="00D348DE" w:rsidP="00D348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48D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348DE" w:rsidRPr="00D348DE" w:rsidRDefault="00D348DE" w:rsidP="00D348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48D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37" w:type="dxa"/>
            <w:vMerge w:val="restart"/>
          </w:tcPr>
          <w:p w:rsidR="00D348DE" w:rsidRPr="00D348DE" w:rsidRDefault="00D348DE" w:rsidP="00D348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D348D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Темп приросту 2010/2008, </w:t>
            </w:r>
            <w:r w:rsidR="00DB667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в.п.</w:t>
            </w:r>
          </w:p>
        </w:tc>
        <w:tc>
          <w:tcPr>
            <w:tcW w:w="1405" w:type="dxa"/>
            <w:vMerge w:val="restart"/>
          </w:tcPr>
          <w:p w:rsidR="00D348DE" w:rsidRPr="00D348DE" w:rsidRDefault="00D348DE" w:rsidP="00D348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D348D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Темп приросту 2010/2009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</w:t>
            </w:r>
            <w:r w:rsidR="00DB667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в.п</w:t>
            </w:r>
          </w:p>
        </w:tc>
      </w:tr>
      <w:tr w:rsidR="00DB6670" w:rsidTr="00D348DE">
        <w:trPr>
          <w:trHeight w:val="480"/>
        </w:trPr>
        <w:tc>
          <w:tcPr>
            <w:tcW w:w="735" w:type="dxa"/>
            <w:vMerge/>
          </w:tcPr>
          <w:p w:rsidR="00DB6670" w:rsidRDefault="00DB6670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Merge/>
          </w:tcPr>
          <w:p w:rsidR="00DB6670" w:rsidRDefault="00DB6670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B6670" w:rsidRPr="007268AA" w:rsidRDefault="00DB6670" w:rsidP="00D348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68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абс.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B6670" w:rsidRPr="007268AA" w:rsidRDefault="00DB6670" w:rsidP="00D348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68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B6670" w:rsidRPr="007268AA" w:rsidRDefault="00DB6670" w:rsidP="009E01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68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абс.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6670" w:rsidRPr="007268AA" w:rsidRDefault="00DB6670" w:rsidP="009E01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68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B6670" w:rsidRPr="007268AA" w:rsidRDefault="00DB6670" w:rsidP="009E01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68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абс.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B6670" w:rsidRPr="007268AA" w:rsidRDefault="00DB6670" w:rsidP="009E01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68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%</w:t>
            </w:r>
          </w:p>
        </w:tc>
        <w:tc>
          <w:tcPr>
            <w:tcW w:w="1537" w:type="dxa"/>
            <w:vMerge/>
          </w:tcPr>
          <w:p w:rsidR="00DB6670" w:rsidRDefault="00DB6670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  <w:vMerge/>
          </w:tcPr>
          <w:p w:rsidR="00DB6670" w:rsidRDefault="00DB6670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68AA" w:rsidTr="00761E71">
        <w:trPr>
          <w:trHeight w:val="291"/>
        </w:trPr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7268AA" w:rsidRPr="007268AA" w:rsidRDefault="007268AA" w:rsidP="007268AA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68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268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2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працівників за якісним складом</w:t>
            </w:r>
          </w:p>
        </w:tc>
      </w:tr>
      <w:tr w:rsidR="002B391C" w:rsidTr="00DB6670">
        <w:trPr>
          <w:trHeight w:val="11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Default="002B391C" w:rsidP="00D348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8641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Default="002B391C" w:rsidP="00864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1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працюючих у віці (років),</w:t>
            </w:r>
            <w:r w:rsidR="001F56A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всього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осіб</w:t>
            </w:r>
            <w:r w:rsidRPr="008641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2B39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2B39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2B39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2B39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-8,8</w:t>
            </w:r>
          </w:p>
        </w:tc>
      </w:tr>
      <w:tr w:rsidR="002B391C" w:rsidTr="0086410C">
        <w:trPr>
          <w:trHeight w:val="31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Default="002B391C" w:rsidP="0086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7268AA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7268AA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7268AA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-10,5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-15,0</w:t>
            </w:r>
          </w:p>
        </w:tc>
      </w:tr>
      <w:tr w:rsidR="002B391C" w:rsidTr="0086410C">
        <w:trPr>
          <w:trHeight w:val="228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Default="002B391C" w:rsidP="0086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15-24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7268AA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7268AA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687E9B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B391C" w:rsidTr="0086410C">
        <w:trPr>
          <w:trHeight w:val="28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Default="002B391C" w:rsidP="0086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7268AA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7268AA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687E9B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3B7203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B7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</w:t>
            </w:r>
          </w:p>
        </w:tc>
      </w:tr>
      <w:tr w:rsidR="002B391C" w:rsidTr="0086410C">
        <w:trPr>
          <w:trHeight w:val="285"/>
        </w:trPr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2B391C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</w:tcPr>
          <w:p w:rsidR="002B391C" w:rsidRDefault="002B391C" w:rsidP="0086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55-59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391C" w:rsidRPr="007268AA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391C" w:rsidRPr="007268AA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391C" w:rsidRPr="00687E9B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-33,3</w:t>
            </w:r>
          </w:p>
        </w:tc>
      </w:tr>
      <w:tr w:rsidR="002B391C" w:rsidRPr="001E6F58" w:rsidTr="0086410C">
        <w:trPr>
          <w:trHeight w:val="46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2B391C" w:rsidRPr="0086410C" w:rsidRDefault="002B391C" w:rsidP="00D348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8641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2B391C" w:rsidRPr="0086410C" w:rsidRDefault="002B391C" w:rsidP="00864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1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працівників, які мають вищу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освіту за освітніми рівнями, осіб</w:t>
            </w:r>
            <w:r w:rsidRPr="008641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B391C" w:rsidRPr="0000356C" w:rsidRDefault="002B391C" w:rsidP="0042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B391C" w:rsidRPr="003474A0" w:rsidRDefault="002B391C" w:rsidP="0042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A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B391C" w:rsidRPr="003474A0" w:rsidRDefault="002B391C" w:rsidP="0042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A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-12,5</w:t>
            </w:r>
          </w:p>
        </w:tc>
      </w:tr>
      <w:tr w:rsidR="002B391C" w:rsidTr="0086410C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Default="002B391C" w:rsidP="0086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неповна та базова вища освіта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-50,0</w:t>
            </w:r>
          </w:p>
        </w:tc>
      </w:tr>
      <w:tr w:rsidR="002B391C" w:rsidTr="0086410C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2B391C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2B391C" w:rsidRDefault="002B391C" w:rsidP="0086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 освіта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B391C" w:rsidRPr="00CC451C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B391C" w:rsidRPr="00D348DE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2B391C" w:rsidRPr="00D348DE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-8,0</w:t>
            </w:r>
          </w:p>
        </w:tc>
      </w:tr>
      <w:tr w:rsidR="002B391C" w:rsidTr="00A44206">
        <w:trPr>
          <w:trHeight w:val="1095"/>
        </w:trPr>
        <w:tc>
          <w:tcPr>
            <w:tcW w:w="735" w:type="dxa"/>
            <w:tcBorders>
              <w:bottom w:val="single" w:sz="4" w:space="0" w:color="auto"/>
            </w:tcBorders>
          </w:tcPr>
          <w:p w:rsidR="002B391C" w:rsidRPr="00A44206" w:rsidRDefault="002B391C" w:rsidP="00D348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A442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2B391C" w:rsidRPr="00A44206" w:rsidRDefault="002B391C" w:rsidP="00D348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42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працівників, які отримують пенсію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осіб: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B391C" w:rsidRPr="00D348DE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B391C" w:rsidRPr="00D348DE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B391C" w:rsidRPr="00D348DE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B391C" w:rsidRPr="00D348DE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B391C" w:rsidRPr="00D348DE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2B391C" w:rsidRPr="00D348DE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B391C" w:rsidTr="00A44206">
        <w:trPr>
          <w:trHeight w:val="27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A44206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A44206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вислугу років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B391C" w:rsidTr="00A44206">
        <w:trPr>
          <w:trHeight w:val="21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A44206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A44206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віком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2B391C" w:rsidTr="00A44206">
        <w:trPr>
          <w:trHeight w:val="330"/>
        </w:trPr>
        <w:tc>
          <w:tcPr>
            <w:tcW w:w="735" w:type="dxa"/>
            <w:tcBorders>
              <w:top w:val="single" w:sz="4" w:space="0" w:color="auto"/>
            </w:tcBorders>
          </w:tcPr>
          <w:p w:rsidR="002B391C" w:rsidRPr="00A44206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2B391C" w:rsidRPr="00A44206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інвалідності, всього: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B391C" w:rsidTr="00A44206">
        <w:trPr>
          <w:trHeight w:val="315"/>
        </w:trPr>
        <w:tc>
          <w:tcPr>
            <w:tcW w:w="735" w:type="dxa"/>
            <w:tcBorders>
              <w:bottom w:val="single" w:sz="4" w:space="0" w:color="auto"/>
            </w:tcBorders>
          </w:tcPr>
          <w:p w:rsidR="002B391C" w:rsidRPr="00A44206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2B391C" w:rsidRPr="00A44206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B391C" w:rsidTr="00751234">
        <w:trPr>
          <w:trHeight w:val="370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391C" w:rsidRPr="007268AA" w:rsidRDefault="002B391C" w:rsidP="0072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8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.Підготовка кадрів</w:t>
            </w:r>
          </w:p>
        </w:tc>
      </w:tr>
      <w:tr w:rsidR="002B391C" w:rsidTr="001E6F58">
        <w:trPr>
          <w:trHeight w:val="369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Default="002B391C" w:rsidP="00A44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42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працівників, яких було навчено новим професіям (безпосередньо на виробництві та в навчальних закладах різних типів за договорами)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осіб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B391C" w:rsidTr="00790BA3">
        <w:trPr>
          <w:trHeight w:val="225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391C" w:rsidRPr="007268AA" w:rsidRDefault="002B391C" w:rsidP="0072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8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726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Підвищення кваліфікації</w:t>
            </w:r>
          </w:p>
        </w:tc>
      </w:tr>
      <w:tr w:rsidR="002B391C" w:rsidTr="00DB6670">
        <w:trPr>
          <w:trHeight w:val="14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Default="002B391C" w:rsidP="00D348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 w:rsidRPr="00DB66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Default="002B391C" w:rsidP="00D348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6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працівників, які підвищили кваліфікацію, осіб: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A44206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-66,7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A44206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-54,5</w:t>
            </w:r>
          </w:p>
        </w:tc>
      </w:tr>
      <w:tr w:rsidR="002B391C" w:rsidTr="00DB6670">
        <w:trPr>
          <w:trHeight w:val="27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DB6670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DB6670" w:rsidRDefault="002B391C" w:rsidP="00DB66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безпосередньо на виробництві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DB6670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DB6670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DB6670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DB6670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1C" w:rsidRPr="00DB6670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1C" w:rsidRPr="00DB6670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DB6670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2B391C" w:rsidRPr="00DB6670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B391C" w:rsidTr="00A44206">
        <w:trPr>
          <w:trHeight w:val="267"/>
        </w:trPr>
        <w:tc>
          <w:tcPr>
            <w:tcW w:w="735" w:type="dxa"/>
            <w:tcBorders>
              <w:top w:val="single" w:sz="4" w:space="0" w:color="auto"/>
            </w:tcBorders>
          </w:tcPr>
          <w:p w:rsidR="002B391C" w:rsidRPr="00DB6670" w:rsidRDefault="002B391C" w:rsidP="00D34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2B391C" w:rsidRPr="00DB6670" w:rsidRDefault="002B391C" w:rsidP="00DB66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навчальних закладах різних типів за договорами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391C" w:rsidRPr="00DB6670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B391C" w:rsidRPr="00DB6670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391C" w:rsidRPr="00DB6670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B391C" w:rsidRPr="00DB6670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391C" w:rsidRPr="00DB6670" w:rsidRDefault="002B391C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B391C" w:rsidRPr="00DB6670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B391C" w:rsidRPr="00DB6670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-66,7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2B391C" w:rsidRPr="00DB6670" w:rsidRDefault="004224F6" w:rsidP="00422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-54,5</w:t>
            </w:r>
          </w:p>
        </w:tc>
      </w:tr>
    </w:tbl>
    <w:p w:rsidR="00F27B79" w:rsidRPr="005B2F88" w:rsidRDefault="00F27B79" w:rsidP="005B2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Висновки: </w:t>
      </w:r>
      <w:r w:rsidR="00D51DF6">
        <w:rPr>
          <w:rFonts w:ascii="Times New Roman" w:hAnsi="Times New Roman" w:cs="Times New Roman"/>
          <w:sz w:val="28"/>
          <w:szCs w:val="28"/>
          <w:lang w:val="uk-UA"/>
        </w:rPr>
        <w:t xml:space="preserve">за даними таблиці </w:t>
      </w:r>
      <w:r w:rsidR="009F6177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D51DF6">
        <w:rPr>
          <w:rFonts w:ascii="Times New Roman" w:hAnsi="Times New Roman" w:cs="Times New Roman"/>
          <w:sz w:val="28"/>
          <w:szCs w:val="28"/>
          <w:lang w:val="uk-UA"/>
        </w:rPr>
        <w:t xml:space="preserve">. спостерігається динаміка показника кількість працюючих у віці </w:t>
      </w:r>
      <w:r w:rsidR="001F56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51DF6">
        <w:rPr>
          <w:rFonts w:ascii="Times New Roman" w:hAnsi="Times New Roman" w:cs="Times New Roman"/>
          <w:sz w:val="28"/>
          <w:szCs w:val="28"/>
          <w:lang w:val="uk-UA"/>
        </w:rPr>
        <w:t>всього</w:t>
      </w:r>
      <w:r w:rsidR="001F56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1DF6">
        <w:rPr>
          <w:rFonts w:ascii="Times New Roman" w:hAnsi="Times New Roman" w:cs="Times New Roman"/>
          <w:sz w:val="28"/>
          <w:szCs w:val="28"/>
          <w:lang w:val="uk-UA"/>
        </w:rPr>
        <w:t xml:space="preserve"> в 2009 році в порівнянні з 2008 роком збільшення на 5 осіб, що є позитивним явищем, а в порівнянні з 2010 роком зменшиться на 3 особи або на 8,8 в.п.</w:t>
      </w:r>
      <w:r w:rsidR="00033C01">
        <w:rPr>
          <w:rFonts w:ascii="Times New Roman" w:hAnsi="Times New Roman" w:cs="Times New Roman"/>
          <w:sz w:val="28"/>
          <w:szCs w:val="28"/>
          <w:lang w:val="uk-UA"/>
        </w:rPr>
        <w:t xml:space="preserve">, що оцінюється негативно, в 2010 році в порівнянні з 2008 роком, цей показник збільшився на 2 осіб або на 6,9 в.п. Причиною зменшення кількості працівників може бути низький рівень оплати </w:t>
      </w:r>
      <w:r w:rsidR="00033C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праці, погані умови праці, погане ставлення до працівників, також можливо зменшення через порушення трудової дисципліни, невиконання обов’язків передбачених відповідно у посадових інструкціях. Аналізуючи  показник </w:t>
      </w:r>
      <w:r w:rsidR="001F56AE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працюючих у віці (всього) з них: 15-34: темп приросту 2010 року до 2008 року є негативним і становить 10,5 в.п., адже у 2010 році цей показник становив 17 осіб, а в 2008 році 19 осіб, а щодо 2009 року 20 осіб, що також негативно і становить 15 в.п., з них 15-24: в 2010 році цей показник відсутній, що </w:t>
      </w:r>
      <w:r w:rsidR="003B7203">
        <w:rPr>
          <w:rFonts w:ascii="Times New Roman" w:hAnsi="Times New Roman" w:cs="Times New Roman"/>
          <w:sz w:val="28"/>
          <w:szCs w:val="28"/>
          <w:lang w:val="uk-UA"/>
        </w:rPr>
        <w:t xml:space="preserve">є негативним, адже спостерігається зменшення працюючих молодого віку; </w:t>
      </w:r>
      <w:r w:rsidR="001F56AE">
        <w:rPr>
          <w:rFonts w:ascii="Times New Roman" w:hAnsi="Times New Roman" w:cs="Times New Roman"/>
          <w:sz w:val="28"/>
          <w:szCs w:val="28"/>
          <w:lang w:val="uk-UA"/>
        </w:rPr>
        <w:t xml:space="preserve">50-54: динаміка цього показника </w:t>
      </w:r>
      <w:r w:rsidR="003B7203">
        <w:rPr>
          <w:rFonts w:ascii="Times New Roman" w:hAnsi="Times New Roman" w:cs="Times New Roman"/>
          <w:sz w:val="28"/>
          <w:szCs w:val="28"/>
          <w:lang w:val="uk-UA"/>
        </w:rPr>
        <w:t>зростає у всіх роках, темп приросту 2010 року до 2008 року становить 50,0 в.п., а темп приросту 2010 року до 2009 року дорівнює 9,1 в.п., це є наслідком, що на управлінні багато працівників похилого віку</w:t>
      </w:r>
      <w:r w:rsidR="00A32011">
        <w:rPr>
          <w:rFonts w:ascii="Times New Roman" w:hAnsi="Times New Roman" w:cs="Times New Roman"/>
          <w:sz w:val="28"/>
          <w:szCs w:val="28"/>
          <w:lang w:val="uk-UA"/>
        </w:rPr>
        <w:t xml:space="preserve">; 55-59: динаміка щодо 2010/2008 року є незмінною і становить 2 особи, що є негативним, адже управління потребує молодих спеціалістів, а динаміка щодо 2010/2009 років зменшилася і становить 33,3 в.п., що оцінюється більш позитивно. Показник </w:t>
      </w:r>
      <w:r w:rsidR="00A32011" w:rsidRPr="00A32011">
        <w:rPr>
          <w:rFonts w:ascii="Times New Roman" w:hAnsi="Times New Roman" w:cs="Times New Roman"/>
          <w:sz w:val="28"/>
          <w:szCs w:val="28"/>
          <w:lang w:val="uk-UA"/>
        </w:rPr>
        <w:t>кількість працівників, які мають вищу освіту за освітніми рівнями</w:t>
      </w:r>
      <w:r w:rsidR="00A320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5CEE">
        <w:rPr>
          <w:rFonts w:ascii="Times New Roman" w:hAnsi="Times New Roman" w:cs="Times New Roman"/>
          <w:sz w:val="28"/>
          <w:szCs w:val="28"/>
          <w:lang w:val="uk-UA"/>
        </w:rPr>
        <w:t xml:space="preserve"> то динаміка цього показника для 2010/2008 року не змінюється, а для 2010/2009 року є негативним, адже у 2009 році було 56 осіб, а до 2010 року він зменшується на 7 осіб або на 12,5 в.п., що є також негативним, що показує, що не всі працівники мають вищу освіту, тому потрібно щоб управління направляло на підвищення кваліфікації працівників</w:t>
      </w:r>
      <w:r w:rsidR="00031BA0">
        <w:rPr>
          <w:rFonts w:ascii="Times New Roman" w:hAnsi="Times New Roman" w:cs="Times New Roman"/>
          <w:sz w:val="28"/>
          <w:szCs w:val="28"/>
          <w:lang w:val="uk-UA"/>
        </w:rPr>
        <w:t>, також можливо надавало кошти для здобуття вищої освіти, адже бачимо що на управлінні є і такі працівники, які мають неповну та базову вищу освіту в 2009 році цей показник зріс на 3 особи</w:t>
      </w:r>
      <w:r w:rsidR="00031BA0" w:rsidRPr="00031BA0">
        <w:rPr>
          <w:rFonts w:ascii="Times New Roman" w:hAnsi="Times New Roman" w:cs="Times New Roman"/>
          <w:sz w:val="28"/>
          <w:szCs w:val="28"/>
          <w:lang w:val="uk-UA"/>
        </w:rPr>
        <w:t>. Кількість працівників, які отримують пенсію</w:t>
      </w:r>
      <w:r w:rsidR="00031BA0">
        <w:rPr>
          <w:rFonts w:ascii="Times New Roman" w:hAnsi="Times New Roman" w:cs="Times New Roman"/>
          <w:sz w:val="28"/>
          <w:szCs w:val="28"/>
          <w:lang w:val="uk-UA"/>
        </w:rPr>
        <w:t>, також збільшується на 1 особу в 2009 році в порівнянні з 2008 роком, що є негативно для підприємства, адже це є для управління збільшенням витрат з одного боку, але з іншого, як бачимо, що пенсія виплачується працівнику по інвалідності, яка можливо сталася на управлінні. Щодо показника</w:t>
      </w:r>
      <w:r w:rsidR="005B2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F88" w:rsidRPr="005B2F88">
        <w:rPr>
          <w:rFonts w:ascii="Times New Roman" w:hAnsi="Times New Roman" w:cs="Times New Roman"/>
          <w:sz w:val="28"/>
          <w:szCs w:val="28"/>
          <w:lang w:val="uk-UA"/>
        </w:rPr>
        <w:t>кількість працівників, які підвищили кваліфікацію</w:t>
      </w:r>
      <w:r w:rsidR="009F6177">
        <w:rPr>
          <w:rFonts w:ascii="Times New Roman" w:hAnsi="Times New Roman" w:cs="Times New Roman"/>
          <w:sz w:val="28"/>
          <w:szCs w:val="28"/>
          <w:lang w:val="uk-UA"/>
        </w:rPr>
        <w:t>, то він є негативним щодо всіх років, що є наслідком не достатньо кваліфікованого персоналу, і потребує направлення з боку управління на підвищення кваліфікації та перекваліфікацію працівників, і це обумовлено тим, що керівництво не контролює цей процес.</w:t>
      </w:r>
    </w:p>
    <w:p w:rsidR="005C4FED" w:rsidRPr="009F6177" w:rsidRDefault="005C4FED" w:rsidP="009F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F" w:rsidRPr="000007AF" w:rsidRDefault="000007AF" w:rsidP="00000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07AF" w:rsidRPr="000007AF" w:rsidSect="000007AF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90" w:rsidRDefault="001E2D90" w:rsidP="00082E22">
      <w:pPr>
        <w:spacing w:after="0" w:line="240" w:lineRule="auto"/>
      </w:pPr>
      <w:r>
        <w:separator/>
      </w:r>
    </w:p>
  </w:endnote>
  <w:endnote w:type="continuationSeparator" w:id="1">
    <w:p w:rsidR="001E2D90" w:rsidRDefault="001E2D90" w:rsidP="0008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6829"/>
      <w:docPartObj>
        <w:docPartGallery w:val="Page Numbers (Bottom of Page)"/>
        <w:docPartUnique/>
      </w:docPartObj>
    </w:sdtPr>
    <w:sdtContent>
      <w:p w:rsidR="00082E22" w:rsidRDefault="00082E22">
        <w:pPr>
          <w:pStyle w:val="a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82E22" w:rsidRDefault="00082E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90" w:rsidRDefault="001E2D90" w:rsidP="00082E22">
      <w:pPr>
        <w:spacing w:after="0" w:line="240" w:lineRule="auto"/>
      </w:pPr>
      <w:r>
        <w:separator/>
      </w:r>
    </w:p>
  </w:footnote>
  <w:footnote w:type="continuationSeparator" w:id="1">
    <w:p w:rsidR="001E2D90" w:rsidRDefault="001E2D90" w:rsidP="00082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9BA"/>
    <w:multiLevelType w:val="hybridMultilevel"/>
    <w:tmpl w:val="A8009212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">
    <w:nsid w:val="025C1F74"/>
    <w:multiLevelType w:val="hybridMultilevel"/>
    <w:tmpl w:val="5A94506A"/>
    <w:lvl w:ilvl="0" w:tplc="FB9C4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06465"/>
    <w:multiLevelType w:val="hybridMultilevel"/>
    <w:tmpl w:val="3B0EFE2A"/>
    <w:lvl w:ilvl="0" w:tplc="DE68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8383F"/>
    <w:multiLevelType w:val="hybridMultilevel"/>
    <w:tmpl w:val="EDD6D982"/>
    <w:lvl w:ilvl="0" w:tplc="041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nsid w:val="4D950624"/>
    <w:multiLevelType w:val="hybridMultilevel"/>
    <w:tmpl w:val="7B6447EC"/>
    <w:lvl w:ilvl="0" w:tplc="10B08930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1B12FF"/>
    <w:multiLevelType w:val="hybridMultilevel"/>
    <w:tmpl w:val="F5DA4C20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>
    <w:nsid w:val="6F0F568A"/>
    <w:multiLevelType w:val="hybridMultilevel"/>
    <w:tmpl w:val="3B0EFE2A"/>
    <w:lvl w:ilvl="0" w:tplc="DE68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6011E7"/>
    <w:multiLevelType w:val="hybridMultilevel"/>
    <w:tmpl w:val="B9ACAEF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07AF"/>
    <w:rsid w:val="000007AF"/>
    <w:rsid w:val="00031BA0"/>
    <w:rsid w:val="00033C01"/>
    <w:rsid w:val="00082E22"/>
    <w:rsid w:val="001E2D90"/>
    <w:rsid w:val="001E6F58"/>
    <w:rsid w:val="001F56AE"/>
    <w:rsid w:val="002B391C"/>
    <w:rsid w:val="003B7203"/>
    <w:rsid w:val="004224F6"/>
    <w:rsid w:val="00446BD9"/>
    <w:rsid w:val="005B2F88"/>
    <w:rsid w:val="005C4FED"/>
    <w:rsid w:val="00687E9B"/>
    <w:rsid w:val="006D14E4"/>
    <w:rsid w:val="007268AA"/>
    <w:rsid w:val="00784A24"/>
    <w:rsid w:val="007F2754"/>
    <w:rsid w:val="0086410C"/>
    <w:rsid w:val="008A6BC7"/>
    <w:rsid w:val="008D526C"/>
    <w:rsid w:val="009F6177"/>
    <w:rsid w:val="00A152C7"/>
    <w:rsid w:val="00A32011"/>
    <w:rsid w:val="00A44206"/>
    <w:rsid w:val="00AE149B"/>
    <w:rsid w:val="00B01931"/>
    <w:rsid w:val="00C43CCB"/>
    <w:rsid w:val="00C65CEE"/>
    <w:rsid w:val="00C90C9E"/>
    <w:rsid w:val="00C97B30"/>
    <w:rsid w:val="00CD7C8E"/>
    <w:rsid w:val="00D348DE"/>
    <w:rsid w:val="00D51DF6"/>
    <w:rsid w:val="00DB6670"/>
    <w:rsid w:val="00E03A4A"/>
    <w:rsid w:val="00F217A0"/>
    <w:rsid w:val="00F2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AF"/>
    <w:pPr>
      <w:ind w:left="720"/>
      <w:contextualSpacing/>
    </w:pPr>
  </w:style>
  <w:style w:type="table" w:styleId="a4">
    <w:name w:val="Table Grid"/>
    <w:basedOn w:val="a1"/>
    <w:uiPriority w:val="59"/>
    <w:rsid w:val="00A15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90C9E"/>
    <w:rPr>
      <w:b/>
      <w:bCs/>
    </w:rPr>
  </w:style>
  <w:style w:type="paragraph" w:styleId="a6">
    <w:name w:val="Normal (Web)"/>
    <w:basedOn w:val="a"/>
    <w:uiPriority w:val="99"/>
    <w:unhideWhenUsed/>
    <w:rsid w:val="00C90C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8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E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8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2E22"/>
  </w:style>
  <w:style w:type="paragraph" w:styleId="ab">
    <w:name w:val="footer"/>
    <w:basedOn w:val="a"/>
    <w:link w:val="ac"/>
    <w:uiPriority w:val="99"/>
    <w:unhideWhenUsed/>
    <w:rsid w:val="0008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1;&#1080;&#1089;&#1090;%20Microsoft%20Exce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Рис.1.1. Динаміка показників звіту 1-ПВ "Звіт з праці" Головного управління праці та соціального захисту населення ОДА</a:t>
            </a:r>
          </a:p>
        </c:rich>
      </c:tx>
      <c:layout>
        <c:manualLayout>
          <c:xMode val="edge"/>
          <c:yMode val="edge"/>
          <c:x val="0.16562512636194332"/>
          <c:y val="3.374233128834358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6876180172867"/>
          <c:y val="0.33742331288343591"/>
          <c:w val="0.41719678405128274"/>
          <c:h val="0.45092024539877323"/>
        </c:manualLayout>
      </c:layout>
      <c:lineChart>
        <c:grouping val="standard"/>
        <c:ser>
          <c:idx val="1"/>
          <c:order val="0"/>
          <c:tx>
            <c:strRef>
              <c:f>Лист3!$K$8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Лист3!$L$7:$N$7</c:f>
              <c:numCache>
                <c:formatCode>General</c:formatCode>
                <c:ptCount val="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</c:numCache>
            </c:numRef>
          </c:cat>
          <c:val>
            <c:numRef>
              <c:f>Лист3!$L$8:$N$8</c:f>
              <c:numCache>
                <c:formatCode>General</c:formatCode>
                <c:ptCount val="3"/>
                <c:pt idx="0">
                  <c:v>51</c:v>
                </c:pt>
                <c:pt idx="1">
                  <c:v>56</c:v>
                </c:pt>
                <c:pt idx="2">
                  <c:v>51</c:v>
                </c:pt>
              </c:numCache>
            </c:numRef>
          </c:val>
        </c:ser>
        <c:marker val="1"/>
        <c:axId val="110419968"/>
        <c:axId val="110424448"/>
      </c:lineChart>
      <c:lineChart>
        <c:grouping val="standard"/>
        <c:ser>
          <c:idx val="0"/>
          <c:order val="1"/>
          <c:tx>
            <c:strRef>
              <c:f>Лист3!$K$9</c:f>
              <c:strCache>
                <c:ptCount val="1"/>
                <c:pt idx="0">
                  <c:v>Середньомісячна З/П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Лист3!$L$9:$N$9</c:f>
              <c:numCache>
                <c:formatCode>General</c:formatCode>
                <c:ptCount val="3"/>
                <c:pt idx="0">
                  <c:v>1900.5</c:v>
                </c:pt>
                <c:pt idx="1">
                  <c:v>1687.1</c:v>
                </c:pt>
                <c:pt idx="2">
                  <c:v>1941.7</c:v>
                </c:pt>
              </c:numCache>
            </c:numRef>
          </c:val>
        </c:ser>
        <c:marker val="1"/>
        <c:axId val="110426368"/>
        <c:axId val="110432256"/>
      </c:lineChart>
      <c:catAx>
        <c:axId val="110419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31093773722666745"/>
              <c:y val="0.883435582822085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0424448"/>
        <c:crosses val="autoZero"/>
        <c:lblAlgn val="ctr"/>
        <c:lblOffset val="100"/>
        <c:tickLblSkip val="1"/>
        <c:tickMarkSkip val="1"/>
      </c:catAx>
      <c:valAx>
        <c:axId val="11042444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Середньооблікова  кількість працівників</a:t>
                </a:r>
              </a:p>
            </c:rich>
          </c:tx>
          <c:layout>
            <c:manualLayout>
              <c:xMode val="edge"/>
              <c:yMode val="edge"/>
              <c:x val="3.1319094591849006E-2"/>
              <c:y val="0.3077709611451943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0419968"/>
        <c:crosses val="autoZero"/>
        <c:crossBetween val="between"/>
      </c:valAx>
      <c:catAx>
        <c:axId val="110426368"/>
        <c:scaling>
          <c:orientation val="minMax"/>
        </c:scaling>
        <c:delete val="1"/>
        <c:axPos val="b"/>
        <c:tickLblPos val="nextTo"/>
        <c:crossAx val="110432256"/>
        <c:crosses val="autoZero"/>
        <c:lblAlgn val="ctr"/>
        <c:lblOffset val="100"/>
      </c:catAx>
      <c:valAx>
        <c:axId val="110432256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Середньомісячна  З/П</a:t>
                </a:r>
              </a:p>
            </c:rich>
          </c:tx>
          <c:layout>
            <c:manualLayout>
              <c:xMode val="edge"/>
              <c:yMode val="edge"/>
              <c:x val="0.65123542021702263"/>
              <c:y val="0.3364008179959102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0426368"/>
        <c:crosses val="max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93507565108874"/>
          <c:y val="0.40286298568507167"/>
          <c:w val="0.22499118889759639"/>
          <c:h val="0.2331288343558282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 algn="just"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2011-10-22T17:53:00Z</dcterms:created>
  <dcterms:modified xsi:type="dcterms:W3CDTF">2011-11-01T19:15:00Z</dcterms:modified>
</cp:coreProperties>
</file>