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BA" w:rsidRDefault="00EB64BA" w:rsidP="00EB6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Список використаної літератури:</w:t>
      </w:r>
    </w:p>
    <w:p w:rsidR="00EB64BA" w:rsidRDefault="00EB64BA" w:rsidP="00EB6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1.Дубас Р. Г. Економіка природокористування. Навчальний посібник. – К.: «МП Леся», 2007. – 448 с.</w:t>
      </w:r>
    </w:p>
    <w:p w:rsidR="00EB64BA" w:rsidRDefault="00EB64BA" w:rsidP="00EB6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2.Макарова Н. С., Гармідер Л. Д., Михальчук Л. В., Економіка природокористування: Навч. посібник. – К.: Центр учбової літератури, 2007 – 322 с.</w:t>
      </w:r>
    </w:p>
    <w:p w:rsidR="00EB64BA" w:rsidRDefault="00EB64BA" w:rsidP="00EB6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3.Павлов В. І.,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Борейко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 І., Меліхова Т. Л., Економіка природокористування: Інтерактивний комплекс навчально-методичного забезпечення – Рівне: НУВГП, 2008–136 с.</w:t>
      </w:r>
    </w:p>
    <w:p w:rsidR="00EB64BA" w:rsidRDefault="00EB64BA" w:rsidP="00EB6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4.Царенко О. М., Нєсвєтов О. О., Кадацький П. О., Основи екології  та економіка природокористування. Курс лекцій. Практикум: Навч. посібник. 2-ге вид., Суми: ВТД «Університетська книга», 2004. – 400 с.</w:t>
      </w:r>
    </w:p>
    <w:p w:rsidR="00EB64BA" w:rsidRDefault="00EB64BA" w:rsidP="00EB6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5.Хвесик М. А., Горбач Л. М., Кулаковський Ю. П., Економіко – правове регулювання природокористування.: Монографія. – К.: Кондор, 2004. – 524 с. </w:t>
      </w:r>
    </w:p>
    <w:p w:rsidR="000E5F6A" w:rsidRDefault="000E5F6A" w:rsidP="000E5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Список використаної літератури:</w:t>
      </w:r>
    </w:p>
    <w:p w:rsidR="000E5F6A" w:rsidRDefault="000E5F6A" w:rsidP="000E5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1.Дубас Р. Г. Економіка природокористування. Навчальний посібник. – К.: «МП Леся», 2007. – 448 с.</w:t>
      </w:r>
    </w:p>
    <w:p w:rsidR="000E5F6A" w:rsidRDefault="000E5F6A" w:rsidP="000E5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2.Макарова Н. С., Гармідер Л. Д., Михальчук Л. В., Економіка природокористування: Навч. посібник. – К.: Центр учбової літератури, 2007 – 322 с.</w:t>
      </w:r>
    </w:p>
    <w:p w:rsidR="000E5F6A" w:rsidRDefault="000E5F6A" w:rsidP="000E5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3.Павлов В. І.,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Борейко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 І., Меліхова Т. Л., Економіка природокористування: Інтерактивний комплекс навчально-методичного забезпечення – Рівне: НУВГП, 2008–136 с.</w:t>
      </w:r>
    </w:p>
    <w:p w:rsidR="000E5F6A" w:rsidRDefault="000E5F6A" w:rsidP="000E5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4.Царенко О. М., Нєсвєтов О. О., Кадацький П. О., Основи екології  та економіка природокористування. Курс лекцій. Практикум: Навч. посібник. 2-ге вид., Суми: ВТД «Університетська книга», 2004. – 400 с.</w:t>
      </w:r>
    </w:p>
    <w:p w:rsidR="000E5F6A" w:rsidRDefault="000E5F6A" w:rsidP="000E5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5.Яремчук І. Т. Економіка природокористування. К.: Пошуково – видавниче агентство «Книга Пам’яті України», видавничий центр «Просвіта», 2000. – 431 с.</w:t>
      </w:r>
    </w:p>
    <w:p w:rsidR="000E5F6A" w:rsidRPr="001E6D3B" w:rsidRDefault="000E5F6A" w:rsidP="000E5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1E6D3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1E6D3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1E6D3B">
          <w:rPr>
            <w:rStyle w:val="a3"/>
            <w:rFonts w:ascii="Times New Roman" w:hAnsi="Times New Roman" w:cs="Times New Roman"/>
            <w:sz w:val="24"/>
            <w:szCs w:val="24"/>
          </w:rPr>
          <w:t>http://www.prodiplom.com.ua/content/view/6703</w:t>
        </w:r>
      </w:hyperlink>
    </w:p>
    <w:p w:rsidR="000E5F6A" w:rsidRPr="001E6D3B" w:rsidRDefault="000E5F6A" w:rsidP="000E5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1E6D3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1E6D3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E6D3B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1E6D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1E6D3B">
          <w:rPr>
            <w:rStyle w:val="a3"/>
            <w:rFonts w:ascii="Times New Roman" w:hAnsi="Times New Roman" w:cs="Times New Roman"/>
            <w:sz w:val="24"/>
            <w:szCs w:val="24"/>
          </w:rPr>
          <w:t>buklib</w:t>
        </w:r>
        <w:r w:rsidRPr="001E6D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1E6D3B">
          <w:rPr>
            <w:rStyle w:val="a3"/>
            <w:rFonts w:ascii="Times New Roman" w:hAnsi="Times New Roman" w:cs="Times New Roman"/>
            <w:sz w:val="24"/>
            <w:szCs w:val="24"/>
          </w:rPr>
          <w:t>net</w:t>
        </w:r>
        <w:r w:rsidRPr="001E6D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1E6D3B">
          <w:rPr>
            <w:rStyle w:val="a3"/>
            <w:rFonts w:ascii="Times New Roman" w:hAnsi="Times New Roman" w:cs="Times New Roman"/>
            <w:sz w:val="24"/>
            <w:szCs w:val="24"/>
          </w:rPr>
          <w:t>component</w:t>
        </w:r>
        <w:r w:rsidRPr="001E6D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1E6D3B">
          <w:rPr>
            <w:rStyle w:val="a3"/>
            <w:rFonts w:ascii="Times New Roman" w:hAnsi="Times New Roman" w:cs="Times New Roman"/>
            <w:sz w:val="24"/>
            <w:szCs w:val="24"/>
          </w:rPr>
          <w:t>option</w:t>
        </w:r>
        <w:r w:rsidRPr="001E6D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,</w:t>
        </w:r>
        <w:r w:rsidRPr="001E6D3B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Pr="001E6D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1E6D3B">
          <w:rPr>
            <w:rStyle w:val="a3"/>
            <w:rFonts w:ascii="Times New Roman" w:hAnsi="Times New Roman" w:cs="Times New Roman"/>
            <w:sz w:val="24"/>
            <w:szCs w:val="24"/>
          </w:rPr>
          <w:t>jbook</w:t>
        </w:r>
        <w:r w:rsidRPr="001E6D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1E6D3B">
          <w:rPr>
            <w:rStyle w:val="a3"/>
            <w:rFonts w:ascii="Times New Roman" w:hAnsi="Times New Roman" w:cs="Times New Roman"/>
            <w:sz w:val="24"/>
            <w:szCs w:val="24"/>
          </w:rPr>
          <w:t>task</w:t>
        </w:r>
        <w:r w:rsidRPr="001E6D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,</w:t>
        </w:r>
        <w:r w:rsidRPr="001E6D3B">
          <w:rPr>
            <w:rStyle w:val="a3"/>
            <w:rFonts w:ascii="Times New Roman" w:hAnsi="Times New Roman" w:cs="Times New Roman"/>
            <w:sz w:val="24"/>
            <w:szCs w:val="24"/>
          </w:rPr>
          <w:t>view</w:t>
        </w:r>
        <w:r w:rsidRPr="001E6D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1E6D3B">
          <w:rPr>
            <w:rStyle w:val="a3"/>
            <w:rFonts w:ascii="Times New Roman" w:hAnsi="Times New Roman" w:cs="Times New Roman"/>
            <w:sz w:val="24"/>
            <w:szCs w:val="24"/>
          </w:rPr>
          <w:t>Itemid</w:t>
        </w:r>
        <w:r w:rsidRPr="001E6D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,36/</w:t>
        </w:r>
        <w:r w:rsidRPr="001E6D3B">
          <w:rPr>
            <w:rStyle w:val="a3"/>
            <w:rFonts w:ascii="Times New Roman" w:hAnsi="Times New Roman" w:cs="Times New Roman"/>
            <w:sz w:val="24"/>
            <w:szCs w:val="24"/>
          </w:rPr>
          <w:t>catid</w:t>
        </w:r>
        <w:r w:rsidRPr="001E6D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,108/</w:t>
        </w:r>
        <w:r w:rsidRPr="001E6D3B">
          <w:rPr>
            <w:rStyle w:val="a3"/>
            <w:rFonts w:ascii="Times New Roman" w:hAnsi="Times New Roman" w:cs="Times New Roman"/>
            <w:sz w:val="24"/>
            <w:szCs w:val="24"/>
          </w:rPr>
          <w:t>id</w:t>
        </w:r>
        <w:r w:rsidRPr="001E6D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,2124/</w:t>
        </w:r>
      </w:hyperlink>
    </w:p>
    <w:p w:rsidR="000E5F6A" w:rsidRDefault="000E5F6A" w:rsidP="000E5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1E6D3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1E6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1E6D3B">
          <w:rPr>
            <w:rStyle w:val="a3"/>
            <w:rFonts w:ascii="Times New Roman" w:hAnsi="Times New Roman" w:cs="Times New Roman"/>
            <w:sz w:val="24"/>
            <w:szCs w:val="24"/>
          </w:rPr>
          <w:t>ua.textreferat.com</w:t>
        </w:r>
      </w:hyperlink>
    </w:p>
    <w:p w:rsidR="00F719C8" w:rsidRDefault="00F719C8"/>
    <w:sectPr w:rsidR="00F719C8" w:rsidSect="000A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4BA"/>
    <w:rsid w:val="000A3D8F"/>
    <w:rsid w:val="000E5F6A"/>
    <w:rsid w:val="00EB64BA"/>
    <w:rsid w:val="00F7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5F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a.textreferat.com" TargetMode="External"/><Relationship Id="rId5" Type="http://schemas.openxmlformats.org/officeDocument/2006/relationships/hyperlink" Target="http://buklib.net/component/option,com_jbook/task,view/Itemid,36/catid,108/id,2124/" TargetMode="External"/><Relationship Id="rId4" Type="http://schemas.openxmlformats.org/officeDocument/2006/relationships/hyperlink" Target="http://www.prodiplom.com.ua/content/view/6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2010-04-15T09:10:00Z</dcterms:created>
  <dcterms:modified xsi:type="dcterms:W3CDTF">2010-04-15T09:15:00Z</dcterms:modified>
</cp:coreProperties>
</file>