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8" w:rsidRPr="00850038" w:rsidRDefault="00830565" w:rsidP="008305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850038">
        <w:rPr>
          <w:b/>
          <w:bCs/>
          <w:sz w:val="28"/>
          <w:szCs w:val="28"/>
        </w:rPr>
        <w:t>1. СУТНІСТЬ ДІЛОВОЇ АКТИВНОСТІ (ОБОРОТНОСТІ) ПІДПРИЄМСТВА ТА ЇЇ ЗНАЧЕННЯ ДЛЯ ОЦІНКИ РЕЗУЛЬТАТІВ І ЕФЕКТИВНОСТІ ЙОГО ДІЯЛЬНОСТІ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Аналіз ділової активності дозволяє проаналізувати ефективність основної діяльності підприємства, що характеризується швидкістю обертання фінансових ресурсів підприємства. Аналіз здійснюється за допомогою коефіцієнтів оборотності.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 xml:space="preserve">Коефіцієнти оборотності – </w:t>
      </w:r>
      <w:r w:rsidRPr="00850038">
        <w:rPr>
          <w:sz w:val="28"/>
          <w:szCs w:val="28"/>
        </w:rPr>
        <w:t>система показників фінансової активності підприємства, яка характеризує наскільки швидко сформований капітал обертається в процесі його господарської діяльності.</w:t>
      </w:r>
    </w:p>
    <w:p w:rsidR="00850038" w:rsidRPr="00850038" w:rsidRDefault="00830565" w:rsidP="008305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0038">
        <w:rPr>
          <w:b/>
          <w:bCs/>
          <w:sz w:val="28"/>
          <w:szCs w:val="28"/>
        </w:rPr>
        <w:t>2. ОСНОВНІ ПОКАЗНИКИ ДІЛОВОЇ АКТИВНОСТІ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Аналіз ділової активності</w:t>
      </w:r>
      <w:r w:rsidRPr="00850038">
        <w:rPr>
          <w:sz w:val="28"/>
          <w:szCs w:val="28"/>
        </w:rPr>
        <w:t xml:space="preserve"> підприємства здійснюється шляхом розрахунку таких основних </w:t>
      </w:r>
      <w:r w:rsidRPr="00850038">
        <w:rPr>
          <w:b/>
          <w:bCs/>
          <w:sz w:val="28"/>
          <w:szCs w:val="28"/>
        </w:rPr>
        <w:t>показників</w:t>
      </w:r>
      <w:r w:rsidRPr="00850038">
        <w:rPr>
          <w:sz w:val="28"/>
          <w:szCs w:val="28"/>
        </w:rPr>
        <w:t xml:space="preserve"> (коефіцієнтів): </w:t>
      </w:r>
    </w:p>
    <w:p w:rsidR="00850038" w:rsidRPr="00850038" w:rsidRDefault="00850038" w:rsidP="0083056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·коефіцієнта оборотності активів; </w:t>
      </w:r>
    </w:p>
    <w:p w:rsidR="00850038" w:rsidRPr="00850038" w:rsidRDefault="00850038" w:rsidP="0083056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·коефіцієнта оборотності дебіторської заборгованості; </w:t>
      </w:r>
    </w:p>
    <w:p w:rsidR="00850038" w:rsidRPr="00850038" w:rsidRDefault="00850038" w:rsidP="0083056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·коефіцієнта оборотності кредиторської заборгованості; </w:t>
      </w:r>
    </w:p>
    <w:p w:rsidR="00850038" w:rsidRPr="00850038" w:rsidRDefault="00850038" w:rsidP="0083056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·тривалості обертів дебіторської та кредиторської заборгованостей; </w:t>
      </w:r>
    </w:p>
    <w:p w:rsidR="00850038" w:rsidRPr="00850038" w:rsidRDefault="00850038" w:rsidP="0083056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·коефіцієнта оборотності матеріальних запасів; </w:t>
      </w:r>
    </w:p>
    <w:p w:rsidR="00850038" w:rsidRPr="00850038" w:rsidRDefault="00850038" w:rsidP="0083056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·коефіцієнта оборотності основних засобів (фондовіддачі);</w:t>
      </w:r>
    </w:p>
    <w:p w:rsidR="00850038" w:rsidRPr="00850038" w:rsidRDefault="00850038" w:rsidP="0083056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·періоду обороту чистого робочого капіталу;</w:t>
      </w:r>
    </w:p>
    <w:p w:rsidR="00850038" w:rsidRPr="00850038" w:rsidRDefault="00850038" w:rsidP="00830565">
      <w:pPr>
        <w:pStyle w:val="a3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·коефіцієнта оборотності власного капіталу.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Коефіцієнт оборотності активів</w:t>
      </w:r>
      <w:r w:rsidRPr="00850038">
        <w:rPr>
          <w:sz w:val="28"/>
          <w:szCs w:val="28"/>
        </w:rPr>
        <w:t xml:space="preserve"> обчислюється як відношення чистої виручки від реалізації продукції (робіт, послуг) до середньої величини підсумку балансу підприємства і характеризує ефективність використання підприємством усіх наявних ресурсів, незалежно від джерел їхнього залучення.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Коефіцієнт оборотності дебіторської заборгованості</w:t>
      </w:r>
      <w:r w:rsidRPr="00850038">
        <w:rPr>
          <w:sz w:val="28"/>
          <w:szCs w:val="28"/>
        </w:rPr>
        <w:t xml:space="preserve"> розраховується як відношення чистої виручки від реалізації продукції (робіт, послуг) до середньорічної величини дебіторської заборгованості і показує швидкість обертання дебіторської заборгованості підприємства за період, що аналізується, розширення або зниження комерційного кредиту, що надається підприємством.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Коефіцієнт оборотності кредиторської заборгованості</w:t>
      </w:r>
      <w:r w:rsidRPr="00850038">
        <w:rPr>
          <w:sz w:val="28"/>
          <w:szCs w:val="28"/>
        </w:rPr>
        <w:t xml:space="preserve"> розраховується як відношення чистої виручки від реалізації продукції (робіт, послуг) до середньорічної величини кредиторської заборгованості і показує швидкість обертання кредиторської заборгованості підприємства за період, що аналізується, розширення або зниження комерційного кредиту, що надається підприємству.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Строк погашення дебіторської та кредиторської заборгованостей</w:t>
      </w:r>
      <w:r w:rsidRPr="00850038">
        <w:rPr>
          <w:sz w:val="28"/>
          <w:szCs w:val="28"/>
        </w:rPr>
        <w:t xml:space="preserve"> розраховується як відношення тривалості звітного періоду до коефіцієнта оборотності дебіторської або кредиторської заборгованості і показує середній період погашення дебіторської або кредиторської заборгованостей підприємства.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Коефіцієнт оборотності матеріальних запасів</w:t>
      </w:r>
      <w:r w:rsidRPr="00850038">
        <w:rPr>
          <w:sz w:val="28"/>
          <w:szCs w:val="28"/>
        </w:rPr>
        <w:t xml:space="preserve"> розраховується як відношення собівартості реалізованої продукції до середньорічної вартості матеріальних запасів і характеризує швидкість реалізації товарно-матеріальних запасів підприємства.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Тривалість операційного циклу</w:t>
      </w:r>
      <w:r w:rsidRPr="00850038">
        <w:rPr>
          <w:sz w:val="28"/>
          <w:szCs w:val="28"/>
        </w:rPr>
        <w:t xml:space="preserve"> визначається як сума періоду обороту дебіторської заборгованості (в днях) і періоду обороту виробничих запасів (в днях).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lastRenderedPageBreak/>
        <w:t> </w:t>
      </w:r>
      <w:r w:rsidRPr="00850038">
        <w:rPr>
          <w:b/>
          <w:bCs/>
          <w:sz w:val="28"/>
          <w:szCs w:val="28"/>
        </w:rPr>
        <w:t xml:space="preserve">Тривалість фінансового </w:t>
      </w:r>
      <w:bookmarkEnd w:id="0"/>
      <w:r w:rsidRPr="00850038">
        <w:rPr>
          <w:b/>
          <w:bCs/>
          <w:sz w:val="28"/>
          <w:szCs w:val="28"/>
        </w:rPr>
        <w:t>циклу</w:t>
      </w:r>
      <w:r w:rsidRPr="00850038">
        <w:rPr>
          <w:sz w:val="28"/>
          <w:szCs w:val="28"/>
        </w:rPr>
        <w:t xml:space="preserve"> визначається як тривалість операційного циклу мінус період обороту кредиторської заборгованості.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Коефіцієнт оборотності основних засобів (фондовіддача)</w:t>
      </w:r>
      <w:r w:rsidRPr="00850038">
        <w:rPr>
          <w:sz w:val="28"/>
          <w:szCs w:val="28"/>
        </w:rPr>
        <w:t xml:space="preserve"> розраховується як відношення чистої виручки від реалізації продукції (робіт, послуг) до середньорічної вартості основних засобів. Він показує ефективність використання основних засобів підприємства.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Період обороту чистого робочого капіталу</w:t>
      </w:r>
      <w:r w:rsidRPr="00850038">
        <w:rPr>
          <w:sz w:val="28"/>
          <w:szCs w:val="28"/>
        </w:rPr>
        <w:t xml:space="preserve"> – розраховується як відношення кількості днів у році до коеефіцієнту оборотності чистого робочого капіталу. </w:t>
      </w:r>
      <w:r w:rsidRPr="00850038">
        <w:rPr>
          <w:b/>
          <w:bCs/>
          <w:i/>
          <w:iCs/>
          <w:sz w:val="28"/>
          <w:szCs w:val="28"/>
        </w:rPr>
        <w:t>Коефіцієнт оборотності чистого робочого капіталу</w:t>
      </w:r>
      <w:r w:rsidRPr="00850038">
        <w:rPr>
          <w:sz w:val="28"/>
          <w:szCs w:val="28"/>
        </w:rPr>
        <w:t xml:space="preserve"> дорівнює відношенню чистого доходу від реалізації до розміру чистого робочого капіталу середнього за період.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Коефіцієнт оборотності власного капіталу</w:t>
      </w:r>
      <w:r w:rsidRPr="00850038">
        <w:rPr>
          <w:sz w:val="28"/>
          <w:szCs w:val="28"/>
        </w:rPr>
        <w:t xml:space="preserve"> розраховується як відношення чистої виручки від реалізації продукції (робіт, послуг) до середньорічної величини власного капіталу підприємства і показує ефективність використання власного капіталу підприємства. </w:t>
      </w:r>
    </w:p>
    <w:p w:rsidR="00850038" w:rsidRPr="00850038" w:rsidRDefault="00830565" w:rsidP="008305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0038">
        <w:rPr>
          <w:b/>
          <w:bCs/>
          <w:sz w:val="28"/>
          <w:szCs w:val="28"/>
        </w:rPr>
        <w:t>3. ОЦІНКА ПОКАЗНИКІВ ДІЛОВОЇ АКТИВНОСТІ</w:t>
      </w:r>
    </w:p>
    <w:p w:rsidR="00850038" w:rsidRPr="00850038" w:rsidRDefault="00850038" w:rsidP="00830565">
      <w:pPr>
        <w:pStyle w:val="fr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Ефективність управління підприємством визначається темпами прискорення обертання ресурсів, що повинно знаходити своє відображення у зростанні відповіднихпоказників. Нормативного значення показників не має, але чим швидше обертаються ресурси підприємства, тим краще. Підвищення обертання ресурсів є, поряд з високою прибутковістю другим важелем підвищення фінансового благополуччя підприємства. Низький рівень коефіцієнтів обертання активів може свідчити про недостатню завантаженість та низьку ефективність експлуатації виробничих потужностей, зростання дебіторської заборгованості та запасів.</w:t>
      </w:r>
    </w:p>
    <w:p w:rsidR="00850038" w:rsidRPr="00850038" w:rsidRDefault="00850038" w:rsidP="00830565">
      <w:pPr>
        <w:pStyle w:val="fr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Показник</w:t>
      </w:r>
      <w:r w:rsidRPr="00850038">
        <w:rPr>
          <w:b/>
          <w:bCs/>
          <w:sz w:val="28"/>
          <w:szCs w:val="28"/>
        </w:rPr>
        <w:t xml:space="preserve"> оборотності активів</w:t>
      </w:r>
      <w:r w:rsidRPr="00850038">
        <w:rPr>
          <w:sz w:val="28"/>
          <w:szCs w:val="28"/>
        </w:rPr>
        <w:t xml:space="preserve"> показує, скільки разів за період обертається капітал, вкладений в активи підприємства. Ріст даного показника говорить про підвищення ефективності їхнього використання.</w:t>
      </w:r>
    </w:p>
    <w:p w:rsidR="00850038" w:rsidRPr="00850038" w:rsidRDefault="00850038" w:rsidP="00830565">
      <w:pPr>
        <w:pStyle w:val="fr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Ще одним параметром, що оцінює інтенсивність використання активів є показник періоду обороту в днях, що розраховується як відношення тривалості обраного періоду до оборотності активів за даний період.</w:t>
      </w:r>
    </w:p>
    <w:p w:rsidR="00850038" w:rsidRPr="00850038" w:rsidRDefault="00850038" w:rsidP="00830565">
      <w:pPr>
        <w:pStyle w:val="fr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Оборотність чистих активів є узагальнюючим показником, що характеризує інтенсивність використання активів. Крім того, цей коефіцієнт використовується в оцінці фінансової діяльності компанії.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  <w:r w:rsidRPr="00850038">
        <w:rPr>
          <w:b/>
          <w:bCs/>
          <w:sz w:val="28"/>
          <w:szCs w:val="28"/>
        </w:rPr>
        <w:t>Період обороту чистого робочого капіталу</w:t>
      </w:r>
      <w:r w:rsidRPr="00850038">
        <w:rPr>
          <w:sz w:val="28"/>
          <w:szCs w:val="28"/>
        </w:rPr>
        <w:t xml:space="preserve"> - харктеризує час, протягом якого здійснють оборт оборотні кошти підприємства (цикл від оплати сировини і матеріалів, знаходження їх у вигляді виробничих до отримання платежу за реалізовану продукцію).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Від'ємне значення показника говорить про відсутність оборотних коштів, а його розмір характеризує мінімальну суму на поповнення оборотних коштів. Високе значення показує, що ресурси заморожені в оборотних коштах (розміри запасів надмірні, або підприємство відпускає значну частину продукції у кредит). При раціональному управлінні період обороту позитивний але близький до нуля, тобто структура дебіторської і кредиторської заборгованостей збалансована. Близька до нуля від'ємна величина періоду обороту говорить про роботу підприємства на кредитах постачальників і відсутності власних оборотних коштів. Ріст тривалості </w:t>
      </w:r>
      <w:r w:rsidRPr="00850038">
        <w:rPr>
          <w:sz w:val="28"/>
          <w:szCs w:val="28"/>
        </w:rPr>
        <w:lastRenderedPageBreak/>
        <w:t>обороту говорить або про збитковість, або про відтягення коштів. І в тому, і в іншому випадку кредитування не вирішить проблем підприємства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 Важливим для оцінки господарської діяльності підприємства є визначення </w:t>
      </w:r>
      <w:r w:rsidRPr="00850038">
        <w:rPr>
          <w:b/>
          <w:bCs/>
          <w:sz w:val="28"/>
          <w:szCs w:val="28"/>
        </w:rPr>
        <w:t>тривалості операційного і фінансового циклу</w:t>
      </w:r>
      <w:r w:rsidRPr="00850038">
        <w:rPr>
          <w:sz w:val="28"/>
          <w:szCs w:val="28"/>
        </w:rPr>
        <w:t xml:space="preserve">. В цілому немає нормативних значень для тривалості цих циклів, але чим вони коротші, тим краще працює підприємство. Для різних галузей тривалість операційного циклу є різною. Базою для порівняння є різні періоди діяльності одного підприємства і середньогалузеві показники. 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 </w:t>
      </w:r>
    </w:p>
    <w:p w:rsidR="00850038" w:rsidRPr="00850038" w:rsidRDefault="00830565" w:rsidP="008305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0038">
        <w:rPr>
          <w:b/>
          <w:bCs/>
          <w:sz w:val="28"/>
          <w:szCs w:val="28"/>
        </w:rPr>
        <w:t>4. ВИКОРИСТАННЯ РЕЗУЛЬТАТІВ АНАЛІЗУ ДЛЯ ПІДВИЩЕННЯ ЕФЕКТИВНОСТІ ДІЯЛЬНОСТІ ПІДПРИЄМСТВА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Підвищення ефективності діяльності підприємства здійснюється за рахунок прискорення обертання ресурсів і скорочення періоду їх обороту.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Збільшення числа обертів можливе шляхом скорочення періоду виробництва або скорочення періоду обігу.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Скорочення періоду виробництва потребує вдосконалення технології, модернізації і автоматизації виробництва.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>Скорочення періоду обігу потребує більш еефктивного і раціонального використання ресурсів, прискорення документооброту і розрахунків.</w:t>
      </w:r>
    </w:p>
    <w:p w:rsidR="00850038" w:rsidRPr="00850038" w:rsidRDefault="00850038" w:rsidP="008305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038">
        <w:rPr>
          <w:sz w:val="28"/>
          <w:szCs w:val="28"/>
        </w:rPr>
        <w:t xml:space="preserve"> Чим швидше обертаються ресурси підприємства, тим менший обсяг їх потрвібен для здійснення операційної діяльності і тим еефктивніше діяльність підприємства. </w:t>
      </w:r>
    </w:p>
    <w:p w:rsidR="00830565" w:rsidRDefault="00830565" w:rsidP="0083056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038" w:rsidRPr="00850038" w:rsidRDefault="00830565" w:rsidP="00830565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038">
        <w:rPr>
          <w:rFonts w:ascii="Times New Roman" w:eastAsia="Calibri" w:hAnsi="Times New Roman" w:cs="Times New Roman"/>
          <w:b/>
          <w:sz w:val="28"/>
          <w:szCs w:val="28"/>
        </w:rPr>
        <w:t>ОЦІНКА ДІЛОВОЇ АКТИВНОСТІ ПІДПРИЄМСТВА: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0038">
        <w:rPr>
          <w:rFonts w:ascii="Times New Roman" w:eastAsia="Calibri" w:hAnsi="Times New Roman" w:cs="Times New Roman"/>
          <w:b/>
          <w:sz w:val="28"/>
          <w:szCs w:val="28"/>
        </w:rPr>
        <w:t>НЕОБХІДНІСТЬ, ПРОБЛЕМИ, ПЕРСПЕКТИВИ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038">
        <w:rPr>
          <w:rFonts w:ascii="Times New Roman" w:eastAsia="Calibri" w:hAnsi="Times New Roman" w:cs="Times New Roman"/>
          <w:caps/>
          <w:sz w:val="28"/>
          <w:szCs w:val="28"/>
        </w:rPr>
        <w:t>к</w:t>
      </w:r>
      <w:r w:rsidRPr="00850038">
        <w:rPr>
          <w:rFonts w:ascii="Times New Roman" w:eastAsia="Calibri" w:hAnsi="Times New Roman" w:cs="Times New Roman"/>
          <w:sz w:val="28"/>
          <w:szCs w:val="28"/>
        </w:rPr>
        <w:t>апітал знаходиться в постійному русі, переходячи з однієї стадії кругообігу в іншу. Чим швидше капітал зробить кругообіг, тим більше продукції отримає і реалізує підприємство при одній і тій же сумі капіталу. Затримка руху коштів на будь-якій стадії веде до сповільнення оборотності капіталу, потребує додаткових вкладень коштів і може визвати значне погіршення фінансового стану підприємства.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038">
        <w:rPr>
          <w:rFonts w:ascii="Times New Roman" w:eastAsia="Calibri" w:hAnsi="Times New Roman" w:cs="Times New Roman"/>
          <w:sz w:val="28"/>
          <w:szCs w:val="28"/>
          <w:lang w:val="uk-UA"/>
        </w:rPr>
        <w:t>Ділова активність комерційної організації виявляється в динаміці її розвитку, досягненні нею цілей, які відображають натуральні та вартісні показники, в ефективному використанні економічного потенціалу, розширенні ринків збуту продукції.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038">
        <w:rPr>
          <w:rFonts w:ascii="Times New Roman" w:eastAsia="Calibri" w:hAnsi="Times New Roman" w:cs="Times New Roman"/>
          <w:sz w:val="28"/>
          <w:szCs w:val="28"/>
          <w:lang w:val="uk-UA"/>
        </w:rPr>
        <w:t>Рівні ділової активності конкретної організації відображають етапи її життєдіяльності – зародження, розвиток, підйом, спад, криза, депресія, – показують ступінь адаптації до мінливих ринкових умов, якість управління тощо.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038">
        <w:rPr>
          <w:rFonts w:ascii="Times New Roman" w:eastAsia="Calibri" w:hAnsi="Times New Roman" w:cs="Times New Roman"/>
          <w:sz w:val="28"/>
          <w:szCs w:val="28"/>
          <w:lang w:val="uk-UA"/>
        </w:rPr>
        <w:t>Оцінка ділової активності на якісному рівні може бути отримана в результаті порівняння діяльності даної компанії з однотипними за сферою застосування капіталу підприємствами.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0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Автори наукових праць виводять необхідність оцінювання рівня ділової активності не тільки виходячи з суб’єктивних показників, а й застосування певного набору об’єктивних показників, в тому числі фінансових коефіцієнтів, з можливістю виведення наприкінці інтегрованого кінцевого показника, за яким можна присвоїти суб’єкту господарської діяльності певний рейтинг та порівнювати підприємства між </w:t>
      </w:r>
      <w:r w:rsidRPr="0085003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собою.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0038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активність підприємства в фінансовому аспекті проявляється насамперед в швидкості обороту його коштів, відображає ефективність роботи підприємства відносно величини авансованих ресурсів або відносно величини їх споживання в процесі виробництва.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>д</w:t>
      </w:r>
      <w:r w:rsidRPr="008500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ілову активність характеризують як мотивований макро- і мікроекономічним рівнем управління процес стійкої господарської діяльності організації, направлений на забезпечення її позитивної динаміки, збільшення трудової зайнятості та ефективне використання ресурсів з метою досягнення ринкової конкурентоспроможності. Тобто ділова активність виражає ефективність використання матеріальних, трудових, фінансових й інших ресурсів за всіма бізнес-лініями діяльності  і характеризує якість управління, можливості економічного зростання і достатність капіталу. </w:t>
      </w:r>
      <w:r w:rsidRPr="00850038">
        <w:rPr>
          <w:rFonts w:ascii="Times New Roman" w:eastAsia="Calibri" w:hAnsi="Times New Roman" w:cs="Times New Roman"/>
          <w:caps/>
          <w:sz w:val="28"/>
          <w:szCs w:val="28"/>
        </w:rPr>
        <w:t>в</w:t>
      </w:r>
      <w:r w:rsidRPr="00850038">
        <w:rPr>
          <w:rFonts w:ascii="Times New Roman" w:eastAsia="Calibri" w:hAnsi="Times New Roman" w:cs="Times New Roman"/>
          <w:sz w:val="28"/>
          <w:szCs w:val="28"/>
        </w:rPr>
        <w:t xml:space="preserve"> фінансовому аспекті проявляється насамперед в швидкості обороту його коштів, відображає ефективність роботи підприємства відносно величини авансованих ресурсів або відносно величини їх споживання в процесі виробництва</w:t>
      </w:r>
    </w:p>
    <w:p w:rsidR="00850038" w:rsidRPr="00850038" w:rsidRDefault="00850038" w:rsidP="00830565">
      <w:pPr>
        <w:widowControl w:val="0"/>
        <w:suppressLineNumbers/>
        <w:tabs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>Кількісна оцінка ділової активності, що її пропонує до застосування В.В. Ковальов, здійснюється у таких двох напрямках:</w:t>
      </w:r>
    </w:p>
    <w:p w:rsidR="00850038" w:rsidRPr="00850038" w:rsidRDefault="00850038" w:rsidP="00830565">
      <w:pPr>
        <w:widowControl w:val="0"/>
        <w:numPr>
          <w:ilvl w:val="1"/>
          <w:numId w:val="1"/>
        </w:numPr>
        <w:suppressLineNumbers/>
        <w:tabs>
          <w:tab w:val="num" w:pos="0"/>
          <w:tab w:val="left" w:pos="1080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>ступінь виконання планових показників;</w:t>
      </w:r>
    </w:p>
    <w:p w:rsidR="00850038" w:rsidRPr="00850038" w:rsidRDefault="00850038" w:rsidP="00830565">
      <w:pPr>
        <w:widowControl w:val="0"/>
        <w:numPr>
          <w:ilvl w:val="1"/>
          <w:numId w:val="1"/>
        </w:numPr>
        <w:suppressLineNumbers/>
        <w:tabs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>забезп</w:t>
      </w:r>
      <w:r w:rsidR="00830565">
        <w:rPr>
          <w:rFonts w:ascii="Times New Roman" w:eastAsia="Calibri" w:hAnsi="Times New Roman" w:cs="Times New Roman"/>
          <w:sz w:val="28"/>
          <w:szCs w:val="28"/>
        </w:rPr>
        <w:t>ечення заданих темпів їх росту.</w:t>
      </w:r>
    </w:p>
    <w:p w:rsidR="00850038" w:rsidRPr="00850038" w:rsidRDefault="00850038" w:rsidP="00830565">
      <w:pPr>
        <w:widowControl w:val="0"/>
        <w:suppressLineNumbers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>О.В. Павловська визначає, що кількісна оцінка та аналіз ділової активності можуть бути здійснені за двома напрямками:</w:t>
      </w:r>
    </w:p>
    <w:p w:rsidR="00850038" w:rsidRPr="00850038" w:rsidRDefault="00850038" w:rsidP="00830565">
      <w:pPr>
        <w:widowControl w:val="0"/>
        <w:numPr>
          <w:ilvl w:val="2"/>
          <w:numId w:val="2"/>
        </w:numPr>
        <w:suppressLineNumbers/>
        <w:tabs>
          <w:tab w:val="num" w:pos="0"/>
          <w:tab w:val="left" w:pos="1080"/>
          <w:tab w:val="num" w:pos="354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>ступінь виконання плану за основними показниками, що забезпечують задані темпи їх зростання;</w:t>
      </w:r>
    </w:p>
    <w:p w:rsidR="00850038" w:rsidRPr="00850038" w:rsidRDefault="00850038" w:rsidP="00830565">
      <w:pPr>
        <w:widowControl w:val="0"/>
        <w:numPr>
          <w:ilvl w:val="2"/>
          <w:numId w:val="2"/>
        </w:numPr>
        <w:suppressLineNumbers/>
        <w:tabs>
          <w:tab w:val="num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>рівень ефе</w:t>
      </w:r>
      <w:r w:rsidR="00830565">
        <w:rPr>
          <w:rFonts w:ascii="Times New Roman" w:eastAsia="Calibri" w:hAnsi="Times New Roman" w:cs="Times New Roman"/>
          <w:sz w:val="28"/>
          <w:szCs w:val="28"/>
        </w:rPr>
        <w:t>ктивності використання ресурсів.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 xml:space="preserve">У світовій практиці ділова активність підприємств характеризується ступенем стійкості економічного розвитку (росту). </w:t>
      </w:r>
      <w:r w:rsidRPr="00850038">
        <w:rPr>
          <w:rFonts w:ascii="Times New Roman" w:eastAsia="Calibri" w:hAnsi="Times New Roman" w:cs="Times New Roman"/>
          <w:caps/>
          <w:sz w:val="28"/>
          <w:szCs w:val="28"/>
        </w:rPr>
        <w:t>т</w:t>
      </w:r>
      <w:r w:rsidRPr="00850038">
        <w:rPr>
          <w:rFonts w:ascii="Times New Roman" w:eastAsia="Calibri" w:hAnsi="Times New Roman" w:cs="Times New Roman"/>
          <w:sz w:val="28"/>
          <w:szCs w:val="28"/>
        </w:rPr>
        <w:t>емпи економічного розвитку в першу чергу визначаються темпами збільшення реінвестованих власних засобів.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>Відносні показники ділової активності характеризують рівень ефективності використання ресурсів (матеріальних, трудових і фінансових), який оцінюється за допомогою показників оборотності та рентабельності. Пропонована система показників ділової активності базується на даних фінансової звітності підприємства. Ця обставина дозволяє за даними розрахунку показників контролювати зміни у фінансовому стані підприємства.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>Для розрахунку застосовують абсолютні підсумкові дані за звітний період по виручці, прибутку і т.п. Але показники балансу розраховані на початок і кінець періоду, тобто мають одномоментний характер. Це вносить деяку неясність в інтерпретацію даних розрахунків.</w:t>
      </w:r>
    </w:p>
    <w:p w:rsidR="00850038" w:rsidRPr="00850038" w:rsidRDefault="00850038" w:rsidP="0083056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038">
        <w:rPr>
          <w:rFonts w:ascii="Times New Roman" w:eastAsia="Calibri" w:hAnsi="Times New Roman" w:cs="Times New Roman"/>
          <w:sz w:val="28"/>
          <w:szCs w:val="28"/>
        </w:rPr>
        <w:t xml:space="preserve">Таким чином, слід поєднати елементи аналізу абсолютних показників із якісними (відносними). За наявності інформації першим етапом має бути оцінка репутації підприємства, його ринків збуту, маркетингової діяльності і т.ін. Другим етапом необхідно проаналізувати динаміку активів, в тому числі оборотних, серед яких – власних, а також сум запасів; джерел фінансування активів; динаміку фінансових результатів за різними рівнями (валовий прибуток, прибуток від операційної діяльності, чистий прибуток). Третім етапом повинен стати розрахунок </w:t>
      </w:r>
      <w:r w:rsidRPr="00850038">
        <w:rPr>
          <w:rFonts w:ascii="Times New Roman" w:eastAsia="Calibri" w:hAnsi="Times New Roman" w:cs="Times New Roman"/>
          <w:sz w:val="28"/>
          <w:szCs w:val="28"/>
        </w:rPr>
        <w:lastRenderedPageBreak/>
        <w:t>коефіцієнтів оборотності в динаміці та їх оцінка. Далі, для порівняння та визначення ефективності використання капіталу підприємства, слід розрахувати показники рентабельності продаж і активів, розрахувати вплив рентабельності продаж та оборотності активів на загальну рентабельність майна. І на останньому етапі необхідно розрахувати показники стійкості.</w:t>
      </w:r>
    </w:p>
    <w:tbl>
      <w:tblPr>
        <w:tblW w:w="524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697"/>
      </w:tblGrid>
      <w:tr w:rsidR="007C222D" w:rsidRPr="00850038" w:rsidTr="00795ABB">
        <w:trPr>
          <w:trHeight w:val="112"/>
          <w:tblCellSpacing w:w="0" w:type="dxa"/>
          <w:jc w:val="center"/>
          <w:hidden/>
        </w:trPr>
        <w:tc>
          <w:tcPr>
            <w:tcW w:w="3" w:type="pct"/>
            <w:vMerge w:val="restart"/>
            <w:tcBorders>
              <w:right w:val="none" w:sz="0" w:space="0" w:color="000000"/>
            </w:tcBorders>
          </w:tcPr>
          <w:p w:rsidR="007C222D" w:rsidRPr="00850038" w:rsidRDefault="007C222D" w:rsidP="008305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7" w:type="pct"/>
            <w:tcBorders>
              <w:left w:val="none" w:sz="0" w:space="0" w:color="000000"/>
              <w:bottom w:val="nil"/>
            </w:tcBorders>
          </w:tcPr>
          <w:p w:rsidR="007C222D" w:rsidRPr="00850038" w:rsidRDefault="007C222D" w:rsidP="008305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222D" w:rsidRPr="00830565" w:rsidRDefault="007C222D" w:rsidP="00830565">
            <w:pPr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05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ПОКАЗНИКИ ДІЛОВОЇ АКТИВНОСТІ ПІДПРИЄМСТВА</w:t>
            </w:r>
          </w:p>
          <w:p w:rsidR="007C222D" w:rsidRPr="00850038" w:rsidRDefault="007C222D" w:rsidP="008305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038">
              <w:rPr>
                <w:rFonts w:ascii="Times New Roman" w:eastAsia="Calibri" w:hAnsi="Times New Roman" w:cs="Times New Roman"/>
                <w:sz w:val="28"/>
                <w:szCs w:val="28"/>
              </w:rPr>
              <w:t> В умовах обмеженості ресурсів підприємцю постійно доводиться обирати оптимальні співвідношення між набором економічних ресурсів та обсягами виробництва. Передумовою такого вибору повинно бути проведення аналізу ділової активності (основні показники оцінки ділово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 активності наведені в табл. 1</w:t>
            </w:r>
            <w:r w:rsidRPr="00850038">
              <w:rPr>
                <w:rFonts w:ascii="Times New Roman" w:eastAsia="Calibri" w:hAnsi="Times New Roman" w:cs="Times New Roman"/>
                <w:sz w:val="28"/>
                <w:szCs w:val="28"/>
              </w:rPr>
              <w:t>.1).</w:t>
            </w:r>
          </w:p>
          <w:p w:rsidR="007C222D" w:rsidRPr="00850038" w:rsidRDefault="007C222D" w:rsidP="00830565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Таблиця 1</w:t>
            </w:r>
            <w:r w:rsidRPr="00850038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  <w:p w:rsidR="007C222D" w:rsidRPr="00850038" w:rsidRDefault="007C222D" w:rsidP="008305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038">
              <w:rPr>
                <w:rFonts w:ascii="Times New Roman" w:eastAsia="Calibri" w:hAnsi="Times New Roman" w:cs="Times New Roman"/>
                <w:sz w:val="28"/>
                <w:szCs w:val="28"/>
              </w:rPr>
              <w:t>Показники оцінки ділової активності підприємства</w:t>
            </w:r>
          </w:p>
          <w:tbl>
            <w:tblPr>
              <w:tblW w:w="1067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2076"/>
              <w:gridCol w:w="1939"/>
              <w:gridCol w:w="1592"/>
              <w:gridCol w:w="4563"/>
              <w:gridCol w:w="21"/>
            </w:tblGrid>
            <w:tr w:rsidR="00B41815" w:rsidRPr="00850038" w:rsidTr="00795ABB">
              <w:trPr>
                <w:gridAfter w:val="1"/>
                <w:cantSplit/>
                <w:trHeight w:val="1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 з/п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Назва показника</w:t>
                  </w:r>
                </w:p>
              </w:tc>
              <w:tc>
                <w:tcPr>
                  <w:tcW w:w="1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Порядок (формула) розрахунку</w:t>
                  </w:r>
                </w:p>
              </w:tc>
              <w:tc>
                <w:tcPr>
                  <w:tcW w:w="15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Рекомен-доване значення</w:t>
                  </w:r>
                </w:p>
              </w:tc>
              <w:tc>
                <w:tcPr>
                  <w:tcW w:w="45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Призначення (опис)</w:t>
                  </w:r>
                </w:p>
              </w:tc>
            </w:tr>
            <w:tr w:rsidR="00B41815" w:rsidRPr="00850038" w:rsidTr="00795ABB">
              <w:trPr>
                <w:gridAfter w:val="1"/>
                <w:cantSplit/>
                <w:trHeight w:val="1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41815" w:rsidRPr="00850038" w:rsidTr="00795ABB">
              <w:trPr>
                <w:gridAfter w:val="1"/>
                <w:trHeight w:val="43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Сума продажу продукції (товарів, робіт, послуг)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Ф. 2 (ряд. 035)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Показує доходи від продажу, це вартість відвантаженої продукції (товарів, робіт, послуг) в цінах продажу, включаючи вартість бартеру</w:t>
                  </w:r>
                </w:p>
              </w:tc>
            </w:tr>
            <w:tr w:rsidR="00B41815" w:rsidRPr="00850038" w:rsidTr="00795ABB">
              <w:trPr>
                <w:gridAfter w:val="1"/>
                <w:trHeight w:val="61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Прибуток від продажу продукції (товарів, робіт, послуг)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Ф. 2 (ряд. 050)</w:t>
                  </w:r>
                </w:p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Визначає суму коштів від продажу продукції (товарів, робіт, послуг) зменшену на суму ПДВ, акцизного збору, ввізного мита, митного збору та інших обов’язкових зборів та платежів, а також на суму собівартості проданої продукції (робіт, послуг)</w:t>
                  </w:r>
                </w:p>
              </w:tc>
            </w:tr>
            <w:tr w:rsidR="00B41815" w:rsidRPr="00850038" w:rsidTr="00795ABB">
              <w:trPr>
                <w:gridAfter w:val="1"/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Частка прибутку від реалізації в загальній сумі прибутку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Ф. 2 (ряд.050 / ряд. 170)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Показує питому вагу прибутку від основної діяльності підприємства; значення цього показника менше 0,7 може вказувати на те, що в зв’язку з низькою ефективністю основної діяльності підприємство змушене займатися непрофільними видами діяльності</w:t>
                  </w:r>
                </w:p>
              </w:tc>
            </w:tr>
            <w:tr w:rsidR="00B41815" w:rsidRPr="00850038" w:rsidTr="00795ABB">
              <w:trPr>
                <w:gridAfter w:val="1"/>
                <w:trHeight w:val="8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Коефіцієнт стійкості економічного зростання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Ф. 2 (ряд. 220 – ф. 4 (ряд. 140)/ ф.1 (ряд. 380, гр.3 + ряд. 380, гр.4) х 0,5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5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Розраховується як відношення чистого прибутку (прибутку, що залишається в розпорядженні підприємства після сплати податків і платежів) за мінусом суми дивідендів, виплачених акціонерам, </w:t>
                  </w: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до середньорічної вартості власного капіталу підприємства; тобто показує, яку суму прибутку реінвестує підприємство на 1 грн. власного капіталу</w:t>
                  </w:r>
                </w:p>
              </w:tc>
            </w:tr>
            <w:tr w:rsidR="007C222D" w:rsidRPr="00850038" w:rsidTr="00795ABB">
              <w:trPr>
                <w:gridAfter w:val="1"/>
                <w:trHeight w:val="14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Ефективність використання основних засобів</w:t>
                  </w:r>
                </w:p>
              </w:tc>
            </w:tr>
            <w:tr w:rsidR="00B41815" w:rsidRPr="00850038" w:rsidTr="00795ABB">
              <w:trPr>
                <w:gridAfter w:val="1"/>
                <w:trHeight w:val="41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Фондовіддача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показник 1 / середньорічна вартість основних засобів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Збільшення (середньо-галузеве)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Показує суму продажу, що отримує підприємство з 1 грн. коштів, вкладених в основні засоби</w:t>
                  </w:r>
                </w:p>
              </w:tc>
            </w:tr>
            <w:tr w:rsidR="00B41815" w:rsidRPr="00850038" w:rsidTr="00795ABB">
              <w:trPr>
                <w:gridAfter w:val="1"/>
                <w:trHeight w:val="4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Фондомісткість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Середньорічна вартість основних засобів/ показник 1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Зменшення</w:t>
                  </w:r>
                </w:p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(середньо-галузеве)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Показник обернений до показника фондовіддача, показує суму коштів, яку використало підприємство на формування основних засобів, щоб отримати 1 грн. продажу</w:t>
                  </w:r>
                </w:p>
              </w:tc>
            </w:tr>
            <w:tr w:rsidR="007C222D" w:rsidRPr="00850038" w:rsidTr="00795ABB">
              <w:trPr>
                <w:gridAfter w:val="1"/>
                <w:trHeight w:val="14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Ефективність використання оборотних засобів</w:t>
                  </w:r>
                </w:p>
              </w:tc>
            </w:tr>
            <w:tr w:rsidR="00B41815" w:rsidRPr="00850038" w:rsidTr="00795ABB">
              <w:trPr>
                <w:gridAfter w:val="1"/>
                <w:trHeight w:val="5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Коефіцієнт оборотності оборотних засобів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показник 1 / ф. 1 ((ряд. 260, гр. 3 + + ряд 260, гр. 4) /2)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Збільшення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Визначає кількість оборотів, яку здійснюють оборотні засоби протягом звітного періоду, розраховується як відношення суми продажу до середньорічної вартості оборотних засобів</w:t>
                  </w:r>
                </w:p>
              </w:tc>
            </w:tr>
            <w:tr w:rsidR="00B41815" w:rsidRPr="00850038" w:rsidTr="00795ABB">
              <w:trPr>
                <w:gridAfter w:val="1"/>
                <w:trHeight w:val="63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Тривалість обороту оборотних засобів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кількість календарних днів періоду / показник 7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Зменшення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Характеризується кількістю днів, протягом яких оборотні засоби проходять усі стадії одного кругообігу; розраховується як відношення кількості календарних днів періоду та коефіцієнту оборотності оборотних засобів</w:t>
                  </w:r>
                </w:p>
              </w:tc>
            </w:tr>
            <w:tr w:rsidR="00B41815" w:rsidRPr="00850038" w:rsidTr="00795ABB">
              <w:trPr>
                <w:gridAfter w:val="1"/>
                <w:trHeight w:val="4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Коефіцієнт оборотності виробничих запасів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показник 1 / ф. 1 ((Σ ряд. 100 – 140, гр. 3 + Σ ряд. 100 – 140, гр. 4) /2)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Збільшення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Показує кількість оборотів, яку здійснюють виробничі запаси протягом звітного періоду; розраховується як відношення суми продажу до середньорічної вартості виробничих запасів</w:t>
                  </w:r>
                </w:p>
              </w:tc>
            </w:tr>
            <w:tr w:rsidR="00B41815" w:rsidRPr="00850038" w:rsidTr="00795ABB">
              <w:trPr>
                <w:gridAfter w:val="1"/>
                <w:trHeight w:val="63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Тривалість обороту виробничих запасів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кількість календарних днів періоду / показник 9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Зменшення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Характеризується кількістю днів, протягом яких виробничі запаси проходять усі стадії одного кругообігу; розраховується як відношення кількості календарних днів періоду та коефіцієнта оборотності виробничих запасів</w:t>
                  </w:r>
                </w:p>
              </w:tc>
            </w:tr>
            <w:tr w:rsidR="00B41815" w:rsidRPr="00850038" w:rsidTr="00795ABB">
              <w:trPr>
                <w:gridAfter w:val="1"/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Коефіцієнт </w:t>
                  </w: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оборотності засобів в розрахунках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показник 1 /ф.1 </w:t>
                  </w: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((Σ ряд. 150, ряд. 160, ряд. 170 – 210, гр. 3 + Σ ряд. 150, ряд. 160, ряд. 170 – 210, гр. 4)/ 2)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Збільшення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Визначає кількість обороту засобів в </w:t>
                  </w: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розрахунках протягом звітного періоду; розраховується як відношення суми продажу до середньорічної вартості засобів в розрахунках</w:t>
                  </w:r>
                </w:p>
              </w:tc>
            </w:tr>
            <w:tr w:rsidR="00B41815" w:rsidRPr="00850038" w:rsidTr="00795ABB">
              <w:trPr>
                <w:gridAfter w:val="1"/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Тривалість обороту засобів в розрахунках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кількість календарних днів періоду / показник 11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Зменшення</w:t>
                  </w:r>
                </w:p>
              </w:tc>
              <w:tc>
                <w:tcPr>
                  <w:tcW w:w="45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Характеризується кількістю днів, протягом яких засоби в розрахунках проходять усі стадії одного кругообігу; розраховується як відношення кількості календарних днів періоду та коефіцієнта оборотності засобів в розрахунках</w:t>
                  </w:r>
                </w:p>
              </w:tc>
            </w:tr>
            <w:tr w:rsidR="00B41815" w:rsidRPr="00850038" w:rsidTr="00795ABB">
              <w:trPr>
                <w:gridAfter w:val="1"/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Тривалість погашення дебіторської заборгованості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Ф. 1 (ряд. 150 + ряд. 160 + ряд. 200 + </w:t>
                  </w:r>
                </w:p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+ ряд. 210)/ (показник 1 / кількість календарних днів періоду)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Зменшення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Розраховується як відношення заборгованості до суми продажу за звітний період, поділеної на кількість календарних днів у періоді, вказує строк за який дебіторська заборгованість покупців перетворюється на грошові кошти</w:t>
                  </w:r>
                </w:p>
              </w:tc>
            </w:tr>
            <w:tr w:rsidR="00B41815" w:rsidRPr="00850038" w:rsidTr="00795ABB">
              <w:trPr>
                <w:gridAfter w:val="1"/>
                <w:trHeight w:val="2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Тривалість операційного циклу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показник 10 + + показник 12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Зменшення/</w:t>
                  </w:r>
                </w:p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Розраховується як сума тривалості обороту засобів в розрахунках та тривалості обороту виробничих запасів; характеризує період перетворення виробничих запасів на грошові кошти</w:t>
                  </w:r>
                </w:p>
              </w:tc>
            </w:tr>
            <w:tr w:rsidR="00E6278B" w:rsidRPr="00850038" w:rsidTr="00795ABB">
              <w:trPr>
                <w:gridAfter w:val="1"/>
                <w:trHeight w:val="19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6278B" w:rsidRPr="00E6278B" w:rsidRDefault="00E6278B" w:rsidP="00E6278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627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Ефективність використання капіталу в цілому</w:t>
                  </w:r>
                </w:p>
              </w:tc>
            </w:tr>
            <w:tr w:rsidR="00B41815" w:rsidRPr="00850038" w:rsidTr="00795ABB">
              <w:trPr>
                <w:gridAfter w:val="1"/>
                <w:trHeight w:val="322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6278B" w:rsidRPr="00E6278B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E6278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278B" w:rsidRPr="00E6278B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627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Коефіцієнт оборотності майна</w:t>
                  </w:r>
                </w:p>
              </w:tc>
              <w:tc>
                <w:tcPr>
                  <w:tcW w:w="19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278B" w:rsidRPr="00E6278B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627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показник 1 / ф. 1((ряд. 280, гр. 3 + ряд. 280, гр.4)/2)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278B" w:rsidRPr="00E6278B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627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Збільшення</w:t>
                  </w:r>
                </w:p>
              </w:tc>
              <w:tc>
                <w:tcPr>
                  <w:tcW w:w="4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6278B" w:rsidRPr="00E6278B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6278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Показує кількість оборотів, що здійснює майно протягом звітного періоду; розраховується як відношення суми продажу до середньорічної вартості майна</w:t>
                  </w:r>
                </w:p>
              </w:tc>
            </w:tr>
            <w:tr w:rsidR="00B41815" w:rsidRPr="00850038" w:rsidTr="00795ABB">
              <w:trPr>
                <w:cantSplit/>
                <w:trHeight w:val="15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E6278B" w:rsidRPr="00850038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6278B" w:rsidRPr="00850038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6278B" w:rsidRPr="00850038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6278B" w:rsidRPr="00850038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6278B" w:rsidRPr="00850038" w:rsidRDefault="00E6278B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78B" w:rsidRPr="00850038" w:rsidRDefault="00E6278B" w:rsidP="00E6278B">
                  <w:pPr>
                    <w:spacing w:after="0" w:line="240" w:lineRule="auto"/>
                    <w:ind w:left="-26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1815" w:rsidRPr="00850038" w:rsidTr="00795ABB">
              <w:trPr>
                <w:gridAfter w:val="1"/>
                <w:trHeight w:val="49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Тривалість обороту майна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кількість календарних днів періоду/ 15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Зменшення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Характеризується кількістю днів, протягом яких майно проходить усі стадії одного кругообігу; розраховується як відношення кількості календарних днів періоду та коефіцієнта оборотності майна</w:t>
                  </w:r>
                </w:p>
              </w:tc>
            </w:tr>
            <w:tr w:rsidR="00B41815" w:rsidRPr="00850038" w:rsidTr="00795ABB">
              <w:trPr>
                <w:gridAfter w:val="1"/>
                <w:trHeight w:val="5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ind w:right="-7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Коефіцієнт завантаже-ності майна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ф. 1((ряд 280, гр. 3 + ряд. 280, гр. 4) / 2) / показник 1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Зменшення</w:t>
                  </w:r>
                </w:p>
              </w:tc>
              <w:tc>
                <w:tcPr>
                  <w:tcW w:w="45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7C222D" w:rsidRPr="00850038" w:rsidRDefault="007C222D" w:rsidP="0083056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500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Розраховується як відношення середньорічної вартості майна та суми продаж або фактичного обсягу виробництва</w:t>
                  </w:r>
                </w:p>
              </w:tc>
            </w:tr>
          </w:tbl>
          <w:p w:rsidR="007C222D" w:rsidRPr="00850038" w:rsidRDefault="007C222D" w:rsidP="008305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0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Крім того, як відомо, капітал знаходиться у постійному русі, переходячи з однієї стадії в іншу. Чим швидше кошти підприємства зроблять кругообіг, тим більше продукції отримає та реалізує підприємство при одній і тій же сумі капіталу. Затримка руху коштів на будь-якій стадії призводить до уповільнення оборотності капіталу, потребує додаткового вкладення коштів та може спричинити погіршення фінансового стану підприємства.</w:t>
            </w:r>
          </w:p>
          <w:p w:rsidR="007C222D" w:rsidRPr="00850038" w:rsidRDefault="007C222D" w:rsidP="008305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038">
              <w:rPr>
                <w:rFonts w:ascii="Times New Roman" w:eastAsia="Calibri" w:hAnsi="Times New Roman" w:cs="Times New Roman"/>
                <w:sz w:val="28"/>
                <w:szCs w:val="28"/>
              </w:rPr>
              <w:t>Досягнутий в результаті прискорення оборотності ефект виражається, передусім, у збільшенні обсягу випуску продукції без додаткового залучення фінансових ресурсів. Крім того, за рахунок прискорення оборотності капіталу відбувається збільшення суми прибутку.</w:t>
            </w:r>
          </w:p>
          <w:p w:rsidR="007C222D" w:rsidRPr="00850038" w:rsidRDefault="007C222D" w:rsidP="008305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038">
              <w:rPr>
                <w:rFonts w:ascii="Times New Roman" w:eastAsia="Calibri" w:hAnsi="Times New Roman" w:cs="Times New Roman"/>
                <w:sz w:val="28"/>
                <w:szCs w:val="28"/>
              </w:rPr>
              <w:t>Таким чином, здійснюючи господарську діяльність, підприємство повинно намагатися не лише прискорити рух капіталу, але отримувати максимальну його віддачу.</w:t>
            </w:r>
          </w:p>
        </w:tc>
      </w:tr>
      <w:tr w:rsidR="00795ABB" w:rsidRPr="00850038" w:rsidTr="00795ABB">
        <w:trPr>
          <w:gridAfter w:val="1"/>
          <w:wAfter w:w="4997" w:type="pct"/>
          <w:trHeight w:hRule="exact" w:val="154"/>
          <w:tblCellSpacing w:w="0" w:type="dxa"/>
          <w:jc w:val="center"/>
          <w:hidden/>
        </w:trPr>
        <w:tc>
          <w:tcPr>
            <w:tcW w:w="3" w:type="pct"/>
            <w:vMerge/>
            <w:tcBorders>
              <w:right w:val="none" w:sz="0" w:space="0" w:color="000000"/>
            </w:tcBorders>
          </w:tcPr>
          <w:p w:rsidR="00795ABB" w:rsidRPr="00850038" w:rsidRDefault="00795ABB" w:rsidP="008305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</w:tr>
      <w:tr w:rsidR="007C222D" w:rsidRPr="00850038" w:rsidTr="00795ABB">
        <w:trPr>
          <w:trHeight w:val="921"/>
          <w:tblCellSpacing w:w="0" w:type="dxa"/>
          <w:jc w:val="center"/>
          <w:hidden/>
        </w:trPr>
        <w:tc>
          <w:tcPr>
            <w:tcW w:w="3" w:type="pct"/>
            <w:vMerge/>
            <w:tcBorders>
              <w:right w:val="none" w:sz="0" w:space="0" w:color="000000"/>
            </w:tcBorders>
          </w:tcPr>
          <w:p w:rsidR="007C222D" w:rsidRPr="00850038" w:rsidRDefault="007C222D" w:rsidP="0083056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7" w:type="pct"/>
            <w:tcBorders>
              <w:top w:val="single" w:sz="4" w:space="0" w:color="auto"/>
              <w:left w:val="none" w:sz="0" w:space="0" w:color="000000"/>
            </w:tcBorders>
          </w:tcPr>
          <w:p w:rsidR="007C222D" w:rsidRPr="00795ABB" w:rsidRDefault="007C222D" w:rsidP="00795A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50038" w:rsidRPr="00850038" w:rsidRDefault="00850038" w:rsidP="0083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038" w:rsidRPr="00850038" w:rsidSect="00830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E1" w:rsidRDefault="00B965E1" w:rsidP="00B965E1">
      <w:pPr>
        <w:spacing w:after="0" w:line="240" w:lineRule="auto"/>
      </w:pPr>
      <w:r>
        <w:separator/>
      </w:r>
    </w:p>
  </w:endnote>
  <w:endnote w:type="continuationSeparator" w:id="0">
    <w:p w:rsidR="00B965E1" w:rsidRDefault="00B965E1" w:rsidP="00B9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1" w:rsidRDefault="00B965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1" w:rsidRDefault="00B965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1" w:rsidRDefault="00B96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E1" w:rsidRDefault="00B965E1" w:rsidP="00B965E1">
      <w:pPr>
        <w:spacing w:after="0" w:line="240" w:lineRule="auto"/>
      </w:pPr>
      <w:r>
        <w:separator/>
      </w:r>
    </w:p>
  </w:footnote>
  <w:footnote w:type="continuationSeparator" w:id="0">
    <w:p w:rsidR="00B965E1" w:rsidRDefault="00B965E1" w:rsidP="00B9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1" w:rsidRDefault="00B965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1" w:rsidRPr="00B965E1" w:rsidRDefault="00B965E1" w:rsidP="00B965E1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B965E1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B965E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1" w:rsidRDefault="00B965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607"/>
    <w:multiLevelType w:val="hybridMultilevel"/>
    <w:tmpl w:val="EE888A9A"/>
    <w:lvl w:ilvl="0" w:tplc="3C82BA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C82BA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12562"/>
    <w:multiLevelType w:val="hybridMultilevel"/>
    <w:tmpl w:val="C2781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2C36B0"/>
    <w:multiLevelType w:val="hybridMultilevel"/>
    <w:tmpl w:val="5DC01A56"/>
    <w:lvl w:ilvl="0" w:tplc="3C82BAE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2CF14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38"/>
    <w:rsid w:val="000008AF"/>
    <w:rsid w:val="00001137"/>
    <w:rsid w:val="00002B08"/>
    <w:rsid w:val="00003081"/>
    <w:rsid w:val="00005146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E9E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755A"/>
    <w:rsid w:val="00037A9F"/>
    <w:rsid w:val="00040997"/>
    <w:rsid w:val="00040E9A"/>
    <w:rsid w:val="0004134A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B82"/>
    <w:rsid w:val="00051C2C"/>
    <w:rsid w:val="00053555"/>
    <w:rsid w:val="00054DC3"/>
    <w:rsid w:val="000571D8"/>
    <w:rsid w:val="00060193"/>
    <w:rsid w:val="00061036"/>
    <w:rsid w:val="0006259A"/>
    <w:rsid w:val="000631E9"/>
    <w:rsid w:val="00063944"/>
    <w:rsid w:val="00065984"/>
    <w:rsid w:val="00066281"/>
    <w:rsid w:val="00066D5C"/>
    <w:rsid w:val="00066D71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71C9"/>
    <w:rsid w:val="000879BC"/>
    <w:rsid w:val="00090253"/>
    <w:rsid w:val="000919F1"/>
    <w:rsid w:val="00092291"/>
    <w:rsid w:val="000927DB"/>
    <w:rsid w:val="00093A12"/>
    <w:rsid w:val="00093B48"/>
    <w:rsid w:val="000949CE"/>
    <w:rsid w:val="0009785D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DFC"/>
    <w:rsid w:val="000D7676"/>
    <w:rsid w:val="000D7F97"/>
    <w:rsid w:val="000E2C4A"/>
    <w:rsid w:val="000E415C"/>
    <w:rsid w:val="000E4203"/>
    <w:rsid w:val="000E4FAF"/>
    <w:rsid w:val="000E5F4E"/>
    <w:rsid w:val="000E64B3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4537"/>
    <w:rsid w:val="0010476C"/>
    <w:rsid w:val="001053F3"/>
    <w:rsid w:val="0010557E"/>
    <w:rsid w:val="00106437"/>
    <w:rsid w:val="00106CBE"/>
    <w:rsid w:val="00106F6E"/>
    <w:rsid w:val="00107B2B"/>
    <w:rsid w:val="00107B5D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30C81"/>
    <w:rsid w:val="00131084"/>
    <w:rsid w:val="001315FD"/>
    <w:rsid w:val="00131910"/>
    <w:rsid w:val="00133778"/>
    <w:rsid w:val="00134204"/>
    <w:rsid w:val="00134DB2"/>
    <w:rsid w:val="00135671"/>
    <w:rsid w:val="00136337"/>
    <w:rsid w:val="00136B20"/>
    <w:rsid w:val="00137628"/>
    <w:rsid w:val="001377AD"/>
    <w:rsid w:val="00141FBE"/>
    <w:rsid w:val="00143626"/>
    <w:rsid w:val="00144048"/>
    <w:rsid w:val="0014513D"/>
    <w:rsid w:val="00147221"/>
    <w:rsid w:val="001473EF"/>
    <w:rsid w:val="001500D4"/>
    <w:rsid w:val="00152987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233B"/>
    <w:rsid w:val="0017349B"/>
    <w:rsid w:val="0017408D"/>
    <w:rsid w:val="00175FF5"/>
    <w:rsid w:val="00177272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2925"/>
    <w:rsid w:val="001B370E"/>
    <w:rsid w:val="001B3A99"/>
    <w:rsid w:val="001B4BD8"/>
    <w:rsid w:val="001B55CE"/>
    <w:rsid w:val="001B5722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2907"/>
    <w:rsid w:val="001D47A0"/>
    <w:rsid w:val="001D50A2"/>
    <w:rsid w:val="001D5CDC"/>
    <w:rsid w:val="001D6109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0842"/>
    <w:rsid w:val="001F0A58"/>
    <w:rsid w:val="001F1249"/>
    <w:rsid w:val="001F4F40"/>
    <w:rsid w:val="001F648C"/>
    <w:rsid w:val="002005AE"/>
    <w:rsid w:val="002008E8"/>
    <w:rsid w:val="00200BEF"/>
    <w:rsid w:val="002013C2"/>
    <w:rsid w:val="0020157D"/>
    <w:rsid w:val="002033D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2115"/>
    <w:rsid w:val="00223AD5"/>
    <w:rsid w:val="00225A13"/>
    <w:rsid w:val="00225FA2"/>
    <w:rsid w:val="00230BAB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B40"/>
    <w:rsid w:val="00240BF5"/>
    <w:rsid w:val="00241A03"/>
    <w:rsid w:val="00241B3B"/>
    <w:rsid w:val="00242844"/>
    <w:rsid w:val="00242890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3E8F"/>
    <w:rsid w:val="00293FDB"/>
    <w:rsid w:val="002947C0"/>
    <w:rsid w:val="00294D10"/>
    <w:rsid w:val="00297B64"/>
    <w:rsid w:val="00297CE4"/>
    <w:rsid w:val="00297F8A"/>
    <w:rsid w:val="00297FFA"/>
    <w:rsid w:val="002A02B1"/>
    <w:rsid w:val="002A087F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2FD9"/>
    <w:rsid w:val="002B3827"/>
    <w:rsid w:val="002B3BA5"/>
    <w:rsid w:val="002B3EB8"/>
    <w:rsid w:val="002B4671"/>
    <w:rsid w:val="002B46BD"/>
    <w:rsid w:val="002B5A02"/>
    <w:rsid w:val="002B7BD9"/>
    <w:rsid w:val="002C00C1"/>
    <w:rsid w:val="002C05B3"/>
    <w:rsid w:val="002C1190"/>
    <w:rsid w:val="002C33B8"/>
    <w:rsid w:val="002C4AA2"/>
    <w:rsid w:val="002C5CA8"/>
    <w:rsid w:val="002C7506"/>
    <w:rsid w:val="002C7E02"/>
    <w:rsid w:val="002C7F11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49F0"/>
    <w:rsid w:val="002F5AFE"/>
    <w:rsid w:val="002F5F82"/>
    <w:rsid w:val="002F60DC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E26"/>
    <w:rsid w:val="00310E29"/>
    <w:rsid w:val="00311119"/>
    <w:rsid w:val="00311810"/>
    <w:rsid w:val="003129C6"/>
    <w:rsid w:val="00312D21"/>
    <w:rsid w:val="003143EC"/>
    <w:rsid w:val="0031449D"/>
    <w:rsid w:val="00315093"/>
    <w:rsid w:val="003150F9"/>
    <w:rsid w:val="0031575E"/>
    <w:rsid w:val="0031575F"/>
    <w:rsid w:val="00316ECA"/>
    <w:rsid w:val="00320AC8"/>
    <w:rsid w:val="003214DF"/>
    <w:rsid w:val="00321D8F"/>
    <w:rsid w:val="003223F7"/>
    <w:rsid w:val="00322823"/>
    <w:rsid w:val="00322C82"/>
    <w:rsid w:val="0032347E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626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BE7"/>
    <w:rsid w:val="00342B61"/>
    <w:rsid w:val="00343B16"/>
    <w:rsid w:val="003450F7"/>
    <w:rsid w:val="00345364"/>
    <w:rsid w:val="0035133F"/>
    <w:rsid w:val="00351FCA"/>
    <w:rsid w:val="00352E77"/>
    <w:rsid w:val="00353F64"/>
    <w:rsid w:val="0035442F"/>
    <w:rsid w:val="003544AC"/>
    <w:rsid w:val="00355BA7"/>
    <w:rsid w:val="003566D9"/>
    <w:rsid w:val="00357C78"/>
    <w:rsid w:val="00357F98"/>
    <w:rsid w:val="003603DD"/>
    <w:rsid w:val="0036078E"/>
    <w:rsid w:val="003609A1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050D"/>
    <w:rsid w:val="003912A3"/>
    <w:rsid w:val="00391DF7"/>
    <w:rsid w:val="00391E7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CB"/>
    <w:rsid w:val="003A18C4"/>
    <w:rsid w:val="003A36D9"/>
    <w:rsid w:val="003A4011"/>
    <w:rsid w:val="003A4CC6"/>
    <w:rsid w:val="003A763E"/>
    <w:rsid w:val="003B2473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221D"/>
    <w:rsid w:val="003C498D"/>
    <w:rsid w:val="003D37C9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994"/>
    <w:rsid w:val="003E0B76"/>
    <w:rsid w:val="003E0DD5"/>
    <w:rsid w:val="003E22FA"/>
    <w:rsid w:val="003E267B"/>
    <w:rsid w:val="003E3F55"/>
    <w:rsid w:val="003E4C1A"/>
    <w:rsid w:val="003E660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7992"/>
    <w:rsid w:val="00413F6E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4193"/>
    <w:rsid w:val="00476C0C"/>
    <w:rsid w:val="00477632"/>
    <w:rsid w:val="0047763F"/>
    <w:rsid w:val="004807A0"/>
    <w:rsid w:val="004811A1"/>
    <w:rsid w:val="00482B93"/>
    <w:rsid w:val="00482D29"/>
    <w:rsid w:val="00484C20"/>
    <w:rsid w:val="00486381"/>
    <w:rsid w:val="004877AB"/>
    <w:rsid w:val="00487FFC"/>
    <w:rsid w:val="00490572"/>
    <w:rsid w:val="004909AD"/>
    <w:rsid w:val="00492730"/>
    <w:rsid w:val="004932C1"/>
    <w:rsid w:val="00493844"/>
    <w:rsid w:val="00494E78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6730"/>
    <w:rsid w:val="004A7341"/>
    <w:rsid w:val="004A7880"/>
    <w:rsid w:val="004B04E0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D105B"/>
    <w:rsid w:val="004D118A"/>
    <w:rsid w:val="004D1880"/>
    <w:rsid w:val="004D1C9D"/>
    <w:rsid w:val="004D1D03"/>
    <w:rsid w:val="004D2179"/>
    <w:rsid w:val="004D2D7C"/>
    <w:rsid w:val="004D2EBF"/>
    <w:rsid w:val="004D47A6"/>
    <w:rsid w:val="004D56A4"/>
    <w:rsid w:val="004D6309"/>
    <w:rsid w:val="004D6F53"/>
    <w:rsid w:val="004D779D"/>
    <w:rsid w:val="004D78AA"/>
    <w:rsid w:val="004D7E26"/>
    <w:rsid w:val="004E0ECF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229E"/>
    <w:rsid w:val="005146C8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6168"/>
    <w:rsid w:val="0052676C"/>
    <w:rsid w:val="00527E2A"/>
    <w:rsid w:val="0053160A"/>
    <w:rsid w:val="00533841"/>
    <w:rsid w:val="00533AB8"/>
    <w:rsid w:val="0053463C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DE3"/>
    <w:rsid w:val="00545068"/>
    <w:rsid w:val="00545521"/>
    <w:rsid w:val="005466D7"/>
    <w:rsid w:val="00547F48"/>
    <w:rsid w:val="00550343"/>
    <w:rsid w:val="00551219"/>
    <w:rsid w:val="00551B92"/>
    <w:rsid w:val="0055260E"/>
    <w:rsid w:val="00553098"/>
    <w:rsid w:val="005536BF"/>
    <w:rsid w:val="00555424"/>
    <w:rsid w:val="00556960"/>
    <w:rsid w:val="00556EA7"/>
    <w:rsid w:val="00557252"/>
    <w:rsid w:val="00557EA9"/>
    <w:rsid w:val="00562A5C"/>
    <w:rsid w:val="005632A8"/>
    <w:rsid w:val="0056422D"/>
    <w:rsid w:val="0056696F"/>
    <w:rsid w:val="0056731C"/>
    <w:rsid w:val="005674D6"/>
    <w:rsid w:val="0056763B"/>
    <w:rsid w:val="00567CD9"/>
    <w:rsid w:val="005713FE"/>
    <w:rsid w:val="00571552"/>
    <w:rsid w:val="00572DCF"/>
    <w:rsid w:val="00572DFF"/>
    <w:rsid w:val="0057312B"/>
    <w:rsid w:val="00573BE6"/>
    <w:rsid w:val="00574937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5D86"/>
    <w:rsid w:val="005A65CE"/>
    <w:rsid w:val="005B15D5"/>
    <w:rsid w:val="005B18FC"/>
    <w:rsid w:val="005B22DC"/>
    <w:rsid w:val="005B27EB"/>
    <w:rsid w:val="005B41DF"/>
    <w:rsid w:val="005B4323"/>
    <w:rsid w:val="005B4975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E9C"/>
    <w:rsid w:val="005C6A47"/>
    <w:rsid w:val="005C6DCF"/>
    <w:rsid w:val="005C7F7E"/>
    <w:rsid w:val="005D0C66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524"/>
    <w:rsid w:val="005E0573"/>
    <w:rsid w:val="005E0CD9"/>
    <w:rsid w:val="005E1E59"/>
    <w:rsid w:val="005E4749"/>
    <w:rsid w:val="005E485E"/>
    <w:rsid w:val="005E4C2C"/>
    <w:rsid w:val="005E5625"/>
    <w:rsid w:val="005E578B"/>
    <w:rsid w:val="005E5ACA"/>
    <w:rsid w:val="005E5E37"/>
    <w:rsid w:val="005E6C68"/>
    <w:rsid w:val="005E6F8C"/>
    <w:rsid w:val="005E7E61"/>
    <w:rsid w:val="005F119B"/>
    <w:rsid w:val="005F1587"/>
    <w:rsid w:val="005F1F9E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4506"/>
    <w:rsid w:val="00605269"/>
    <w:rsid w:val="0060534F"/>
    <w:rsid w:val="0060535B"/>
    <w:rsid w:val="00606214"/>
    <w:rsid w:val="006101E2"/>
    <w:rsid w:val="00610227"/>
    <w:rsid w:val="006120EF"/>
    <w:rsid w:val="00614422"/>
    <w:rsid w:val="006179CC"/>
    <w:rsid w:val="006213C2"/>
    <w:rsid w:val="00622E3F"/>
    <w:rsid w:val="00623380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1535"/>
    <w:rsid w:val="00652EBB"/>
    <w:rsid w:val="00652F47"/>
    <w:rsid w:val="00656F9D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73763"/>
    <w:rsid w:val="00673925"/>
    <w:rsid w:val="00673EC1"/>
    <w:rsid w:val="00675BE4"/>
    <w:rsid w:val="00675E89"/>
    <w:rsid w:val="006760AC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B04E6"/>
    <w:rsid w:val="006B0D7E"/>
    <w:rsid w:val="006B1310"/>
    <w:rsid w:val="006B22D9"/>
    <w:rsid w:val="006B232B"/>
    <w:rsid w:val="006B2A34"/>
    <w:rsid w:val="006B4120"/>
    <w:rsid w:val="006B5732"/>
    <w:rsid w:val="006B6537"/>
    <w:rsid w:val="006B66E9"/>
    <w:rsid w:val="006C0281"/>
    <w:rsid w:val="006C1B29"/>
    <w:rsid w:val="006C5FF1"/>
    <w:rsid w:val="006C63D6"/>
    <w:rsid w:val="006C6CDF"/>
    <w:rsid w:val="006D31E6"/>
    <w:rsid w:val="006D43F2"/>
    <w:rsid w:val="006D7547"/>
    <w:rsid w:val="006E0824"/>
    <w:rsid w:val="006E1942"/>
    <w:rsid w:val="006E1D1E"/>
    <w:rsid w:val="006E30DC"/>
    <w:rsid w:val="006E5A62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D"/>
    <w:rsid w:val="007000D1"/>
    <w:rsid w:val="0070082D"/>
    <w:rsid w:val="00700B54"/>
    <w:rsid w:val="00700FF4"/>
    <w:rsid w:val="0070327F"/>
    <w:rsid w:val="00703BD5"/>
    <w:rsid w:val="00703C2E"/>
    <w:rsid w:val="00703CE0"/>
    <w:rsid w:val="00704B28"/>
    <w:rsid w:val="007056A9"/>
    <w:rsid w:val="00707176"/>
    <w:rsid w:val="007079F9"/>
    <w:rsid w:val="00707BB5"/>
    <w:rsid w:val="00710BAF"/>
    <w:rsid w:val="00711138"/>
    <w:rsid w:val="00712A0C"/>
    <w:rsid w:val="007131E7"/>
    <w:rsid w:val="0071358E"/>
    <w:rsid w:val="007139D1"/>
    <w:rsid w:val="00715DA1"/>
    <w:rsid w:val="0072242C"/>
    <w:rsid w:val="00723835"/>
    <w:rsid w:val="00723ADF"/>
    <w:rsid w:val="0072620F"/>
    <w:rsid w:val="00730648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60F4F"/>
    <w:rsid w:val="007617BD"/>
    <w:rsid w:val="00761A25"/>
    <w:rsid w:val="007622DB"/>
    <w:rsid w:val="00762E45"/>
    <w:rsid w:val="007655DF"/>
    <w:rsid w:val="00765CB5"/>
    <w:rsid w:val="007663E0"/>
    <w:rsid w:val="00767B4D"/>
    <w:rsid w:val="00771347"/>
    <w:rsid w:val="00771E44"/>
    <w:rsid w:val="007727F0"/>
    <w:rsid w:val="00774A38"/>
    <w:rsid w:val="0077515A"/>
    <w:rsid w:val="00781A59"/>
    <w:rsid w:val="0078399F"/>
    <w:rsid w:val="00783D06"/>
    <w:rsid w:val="00784E40"/>
    <w:rsid w:val="00785301"/>
    <w:rsid w:val="007863E7"/>
    <w:rsid w:val="00786A75"/>
    <w:rsid w:val="00791AA9"/>
    <w:rsid w:val="0079246C"/>
    <w:rsid w:val="00793A69"/>
    <w:rsid w:val="00793AB1"/>
    <w:rsid w:val="00794589"/>
    <w:rsid w:val="007948D7"/>
    <w:rsid w:val="00795ABB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28B4"/>
    <w:rsid w:val="007B2FC6"/>
    <w:rsid w:val="007B3111"/>
    <w:rsid w:val="007B4CDE"/>
    <w:rsid w:val="007B50B8"/>
    <w:rsid w:val="007B7641"/>
    <w:rsid w:val="007C132D"/>
    <w:rsid w:val="007C222D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BCA"/>
    <w:rsid w:val="008177ED"/>
    <w:rsid w:val="00817E6C"/>
    <w:rsid w:val="00822207"/>
    <w:rsid w:val="00822387"/>
    <w:rsid w:val="00822A97"/>
    <w:rsid w:val="00822FF6"/>
    <w:rsid w:val="00824580"/>
    <w:rsid w:val="00824F25"/>
    <w:rsid w:val="0082689D"/>
    <w:rsid w:val="00826A3C"/>
    <w:rsid w:val="0082711D"/>
    <w:rsid w:val="00827F11"/>
    <w:rsid w:val="00830036"/>
    <w:rsid w:val="0083024C"/>
    <w:rsid w:val="00830565"/>
    <w:rsid w:val="00830F52"/>
    <w:rsid w:val="00831C80"/>
    <w:rsid w:val="008339FB"/>
    <w:rsid w:val="00833A2B"/>
    <w:rsid w:val="00833A5B"/>
    <w:rsid w:val="00834057"/>
    <w:rsid w:val="00834C3E"/>
    <w:rsid w:val="008350D2"/>
    <w:rsid w:val="0083620F"/>
    <w:rsid w:val="00836948"/>
    <w:rsid w:val="008404CD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0038"/>
    <w:rsid w:val="008510A1"/>
    <w:rsid w:val="008514BF"/>
    <w:rsid w:val="008529B3"/>
    <w:rsid w:val="008537D4"/>
    <w:rsid w:val="00857689"/>
    <w:rsid w:val="0086046B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181C"/>
    <w:rsid w:val="00873159"/>
    <w:rsid w:val="008738F1"/>
    <w:rsid w:val="0087420C"/>
    <w:rsid w:val="00874353"/>
    <w:rsid w:val="00876724"/>
    <w:rsid w:val="008800B8"/>
    <w:rsid w:val="00880CC1"/>
    <w:rsid w:val="0088355E"/>
    <w:rsid w:val="00884724"/>
    <w:rsid w:val="0088539D"/>
    <w:rsid w:val="008871D6"/>
    <w:rsid w:val="008874C0"/>
    <w:rsid w:val="00887826"/>
    <w:rsid w:val="00887E38"/>
    <w:rsid w:val="00890DB4"/>
    <w:rsid w:val="008912A3"/>
    <w:rsid w:val="00893455"/>
    <w:rsid w:val="008948F3"/>
    <w:rsid w:val="0089519F"/>
    <w:rsid w:val="00895BF6"/>
    <w:rsid w:val="00895D00"/>
    <w:rsid w:val="00897AB8"/>
    <w:rsid w:val="00897B4C"/>
    <w:rsid w:val="00897B55"/>
    <w:rsid w:val="008A0771"/>
    <w:rsid w:val="008A0DF1"/>
    <w:rsid w:val="008A21CF"/>
    <w:rsid w:val="008A23A3"/>
    <w:rsid w:val="008A2A6C"/>
    <w:rsid w:val="008A46F5"/>
    <w:rsid w:val="008A539B"/>
    <w:rsid w:val="008A5861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C0B1F"/>
    <w:rsid w:val="008C0C48"/>
    <w:rsid w:val="008C28FC"/>
    <w:rsid w:val="008C3473"/>
    <w:rsid w:val="008C400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3608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710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76F1"/>
    <w:rsid w:val="009478DA"/>
    <w:rsid w:val="0095291C"/>
    <w:rsid w:val="00952A6A"/>
    <w:rsid w:val="009537E6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485"/>
    <w:rsid w:val="009660DB"/>
    <w:rsid w:val="00967B03"/>
    <w:rsid w:val="00970A3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3F67"/>
    <w:rsid w:val="00985D81"/>
    <w:rsid w:val="00985F89"/>
    <w:rsid w:val="00986682"/>
    <w:rsid w:val="00986F1D"/>
    <w:rsid w:val="009876F4"/>
    <w:rsid w:val="00991F52"/>
    <w:rsid w:val="00992A94"/>
    <w:rsid w:val="00992F20"/>
    <w:rsid w:val="009931E3"/>
    <w:rsid w:val="009960EB"/>
    <w:rsid w:val="0099661B"/>
    <w:rsid w:val="00996702"/>
    <w:rsid w:val="009A0410"/>
    <w:rsid w:val="009A0764"/>
    <w:rsid w:val="009A0DFD"/>
    <w:rsid w:val="009A493D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34F0"/>
    <w:rsid w:val="00A141C2"/>
    <w:rsid w:val="00A14433"/>
    <w:rsid w:val="00A14564"/>
    <w:rsid w:val="00A16102"/>
    <w:rsid w:val="00A162DC"/>
    <w:rsid w:val="00A16B17"/>
    <w:rsid w:val="00A17759"/>
    <w:rsid w:val="00A17C59"/>
    <w:rsid w:val="00A17FCD"/>
    <w:rsid w:val="00A213B2"/>
    <w:rsid w:val="00A22173"/>
    <w:rsid w:val="00A22611"/>
    <w:rsid w:val="00A231AC"/>
    <w:rsid w:val="00A265AA"/>
    <w:rsid w:val="00A26759"/>
    <w:rsid w:val="00A27A66"/>
    <w:rsid w:val="00A27B07"/>
    <w:rsid w:val="00A32005"/>
    <w:rsid w:val="00A334AA"/>
    <w:rsid w:val="00A34B7A"/>
    <w:rsid w:val="00A37B35"/>
    <w:rsid w:val="00A37E2E"/>
    <w:rsid w:val="00A40F48"/>
    <w:rsid w:val="00A4156F"/>
    <w:rsid w:val="00A419E2"/>
    <w:rsid w:val="00A444A3"/>
    <w:rsid w:val="00A44C6E"/>
    <w:rsid w:val="00A4573F"/>
    <w:rsid w:val="00A46732"/>
    <w:rsid w:val="00A51891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D9D"/>
    <w:rsid w:val="00A75ED6"/>
    <w:rsid w:val="00A76697"/>
    <w:rsid w:val="00A76B2E"/>
    <w:rsid w:val="00A80911"/>
    <w:rsid w:val="00A82146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3EAC"/>
    <w:rsid w:val="00AB445B"/>
    <w:rsid w:val="00AB48ED"/>
    <w:rsid w:val="00AB543C"/>
    <w:rsid w:val="00AB5BD7"/>
    <w:rsid w:val="00AB6ACD"/>
    <w:rsid w:val="00AB774F"/>
    <w:rsid w:val="00AC00AE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335"/>
    <w:rsid w:val="00AE79F2"/>
    <w:rsid w:val="00AF03C5"/>
    <w:rsid w:val="00AF1779"/>
    <w:rsid w:val="00AF30C3"/>
    <w:rsid w:val="00AF6487"/>
    <w:rsid w:val="00AF7B95"/>
    <w:rsid w:val="00B00D56"/>
    <w:rsid w:val="00B01E84"/>
    <w:rsid w:val="00B03A97"/>
    <w:rsid w:val="00B04585"/>
    <w:rsid w:val="00B056EB"/>
    <w:rsid w:val="00B06CE9"/>
    <w:rsid w:val="00B06E0A"/>
    <w:rsid w:val="00B07424"/>
    <w:rsid w:val="00B1040B"/>
    <w:rsid w:val="00B128EA"/>
    <w:rsid w:val="00B132C0"/>
    <w:rsid w:val="00B1361A"/>
    <w:rsid w:val="00B1362D"/>
    <w:rsid w:val="00B14844"/>
    <w:rsid w:val="00B1572F"/>
    <w:rsid w:val="00B160D6"/>
    <w:rsid w:val="00B1635B"/>
    <w:rsid w:val="00B17C9F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1815"/>
    <w:rsid w:val="00B43E98"/>
    <w:rsid w:val="00B43EE4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6027"/>
    <w:rsid w:val="00B56325"/>
    <w:rsid w:val="00B57A4B"/>
    <w:rsid w:val="00B6075A"/>
    <w:rsid w:val="00B60C47"/>
    <w:rsid w:val="00B63146"/>
    <w:rsid w:val="00B63714"/>
    <w:rsid w:val="00B6526F"/>
    <w:rsid w:val="00B6610A"/>
    <w:rsid w:val="00B66D41"/>
    <w:rsid w:val="00B67D80"/>
    <w:rsid w:val="00B700DD"/>
    <w:rsid w:val="00B70BAD"/>
    <w:rsid w:val="00B72422"/>
    <w:rsid w:val="00B73732"/>
    <w:rsid w:val="00B73B32"/>
    <w:rsid w:val="00B75596"/>
    <w:rsid w:val="00B76B7C"/>
    <w:rsid w:val="00B77640"/>
    <w:rsid w:val="00B77914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E0A"/>
    <w:rsid w:val="00B912C2"/>
    <w:rsid w:val="00B912D5"/>
    <w:rsid w:val="00B9390A"/>
    <w:rsid w:val="00B94508"/>
    <w:rsid w:val="00B94974"/>
    <w:rsid w:val="00B965E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6FE4"/>
    <w:rsid w:val="00BD7A5F"/>
    <w:rsid w:val="00BE0126"/>
    <w:rsid w:val="00BE0A59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4FAB"/>
    <w:rsid w:val="00BF55A0"/>
    <w:rsid w:val="00BF6386"/>
    <w:rsid w:val="00BF7D0E"/>
    <w:rsid w:val="00BF7EE4"/>
    <w:rsid w:val="00C0057B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71D"/>
    <w:rsid w:val="00C13CB8"/>
    <w:rsid w:val="00C14A13"/>
    <w:rsid w:val="00C1567B"/>
    <w:rsid w:val="00C15CC7"/>
    <w:rsid w:val="00C174FE"/>
    <w:rsid w:val="00C177BB"/>
    <w:rsid w:val="00C2019F"/>
    <w:rsid w:val="00C2286C"/>
    <w:rsid w:val="00C22E9C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6636"/>
    <w:rsid w:val="00C36A33"/>
    <w:rsid w:val="00C36D28"/>
    <w:rsid w:val="00C37046"/>
    <w:rsid w:val="00C40C91"/>
    <w:rsid w:val="00C411D5"/>
    <w:rsid w:val="00C45026"/>
    <w:rsid w:val="00C455B3"/>
    <w:rsid w:val="00C45E59"/>
    <w:rsid w:val="00C46085"/>
    <w:rsid w:val="00C47AB6"/>
    <w:rsid w:val="00C51D49"/>
    <w:rsid w:val="00C52869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7038"/>
    <w:rsid w:val="00C67CAD"/>
    <w:rsid w:val="00C67EA1"/>
    <w:rsid w:val="00C712AF"/>
    <w:rsid w:val="00C74283"/>
    <w:rsid w:val="00C765EB"/>
    <w:rsid w:val="00C81212"/>
    <w:rsid w:val="00C81318"/>
    <w:rsid w:val="00C81919"/>
    <w:rsid w:val="00C81B9D"/>
    <w:rsid w:val="00C826ED"/>
    <w:rsid w:val="00C82C8B"/>
    <w:rsid w:val="00C830F8"/>
    <w:rsid w:val="00C83186"/>
    <w:rsid w:val="00C834DB"/>
    <w:rsid w:val="00C8465A"/>
    <w:rsid w:val="00C848A3"/>
    <w:rsid w:val="00C85B04"/>
    <w:rsid w:val="00C877E9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594"/>
    <w:rsid w:val="00CA2DE9"/>
    <w:rsid w:val="00CA3104"/>
    <w:rsid w:val="00CA6D55"/>
    <w:rsid w:val="00CA7F80"/>
    <w:rsid w:val="00CB0E1D"/>
    <w:rsid w:val="00CB39C9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34C0"/>
    <w:rsid w:val="00CE35F1"/>
    <w:rsid w:val="00CE36BE"/>
    <w:rsid w:val="00CE59D8"/>
    <w:rsid w:val="00CE6DF1"/>
    <w:rsid w:val="00CF180E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40288"/>
    <w:rsid w:val="00D411B8"/>
    <w:rsid w:val="00D41251"/>
    <w:rsid w:val="00D42163"/>
    <w:rsid w:val="00D43298"/>
    <w:rsid w:val="00D43518"/>
    <w:rsid w:val="00D443AA"/>
    <w:rsid w:val="00D445FD"/>
    <w:rsid w:val="00D452D6"/>
    <w:rsid w:val="00D47629"/>
    <w:rsid w:val="00D50BE2"/>
    <w:rsid w:val="00D5186F"/>
    <w:rsid w:val="00D5216A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600BE"/>
    <w:rsid w:val="00D608A7"/>
    <w:rsid w:val="00D62506"/>
    <w:rsid w:val="00D6292D"/>
    <w:rsid w:val="00D6304A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8083C"/>
    <w:rsid w:val="00D80ECE"/>
    <w:rsid w:val="00D81296"/>
    <w:rsid w:val="00D8142A"/>
    <w:rsid w:val="00D818D7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97C46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B02A1"/>
    <w:rsid w:val="00DB042F"/>
    <w:rsid w:val="00DB0A36"/>
    <w:rsid w:val="00DB0BED"/>
    <w:rsid w:val="00DB12E0"/>
    <w:rsid w:val="00DB1C0E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48EB"/>
    <w:rsid w:val="00DC5DCE"/>
    <w:rsid w:val="00DC6D85"/>
    <w:rsid w:val="00DC7796"/>
    <w:rsid w:val="00DD012B"/>
    <w:rsid w:val="00DD0995"/>
    <w:rsid w:val="00DD1383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25B2"/>
    <w:rsid w:val="00E03B96"/>
    <w:rsid w:val="00E048D6"/>
    <w:rsid w:val="00E05210"/>
    <w:rsid w:val="00E067D0"/>
    <w:rsid w:val="00E06D92"/>
    <w:rsid w:val="00E072C1"/>
    <w:rsid w:val="00E07996"/>
    <w:rsid w:val="00E10152"/>
    <w:rsid w:val="00E10EB5"/>
    <w:rsid w:val="00E11883"/>
    <w:rsid w:val="00E1290F"/>
    <w:rsid w:val="00E12A55"/>
    <w:rsid w:val="00E1570F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278B"/>
    <w:rsid w:val="00E6313F"/>
    <w:rsid w:val="00E63406"/>
    <w:rsid w:val="00E63777"/>
    <w:rsid w:val="00E638A6"/>
    <w:rsid w:val="00E63A0B"/>
    <w:rsid w:val="00E6545C"/>
    <w:rsid w:val="00E654B0"/>
    <w:rsid w:val="00E65DCD"/>
    <w:rsid w:val="00E66017"/>
    <w:rsid w:val="00E66B59"/>
    <w:rsid w:val="00E71A4C"/>
    <w:rsid w:val="00E72AA3"/>
    <w:rsid w:val="00E7445A"/>
    <w:rsid w:val="00E758D3"/>
    <w:rsid w:val="00E76512"/>
    <w:rsid w:val="00E7663E"/>
    <w:rsid w:val="00E76B72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C75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25A4"/>
    <w:rsid w:val="00EB35E4"/>
    <w:rsid w:val="00EB4E56"/>
    <w:rsid w:val="00EB6AAF"/>
    <w:rsid w:val="00EB6FED"/>
    <w:rsid w:val="00EC01D3"/>
    <w:rsid w:val="00EC2C95"/>
    <w:rsid w:val="00EC32CA"/>
    <w:rsid w:val="00EC4015"/>
    <w:rsid w:val="00EC5DCD"/>
    <w:rsid w:val="00EC60B5"/>
    <w:rsid w:val="00EC7C01"/>
    <w:rsid w:val="00EC7D7F"/>
    <w:rsid w:val="00ED0F1E"/>
    <w:rsid w:val="00ED16C0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3959"/>
    <w:rsid w:val="00F15CBD"/>
    <w:rsid w:val="00F15D9E"/>
    <w:rsid w:val="00F16F89"/>
    <w:rsid w:val="00F170EF"/>
    <w:rsid w:val="00F21173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5FA6"/>
    <w:rsid w:val="00F36956"/>
    <w:rsid w:val="00F40010"/>
    <w:rsid w:val="00F40960"/>
    <w:rsid w:val="00F42AE5"/>
    <w:rsid w:val="00F42B63"/>
    <w:rsid w:val="00F43BE3"/>
    <w:rsid w:val="00F444E8"/>
    <w:rsid w:val="00F44B55"/>
    <w:rsid w:val="00F46387"/>
    <w:rsid w:val="00F46A68"/>
    <w:rsid w:val="00F50564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91A"/>
    <w:rsid w:val="00F66020"/>
    <w:rsid w:val="00F66FE9"/>
    <w:rsid w:val="00F67C4B"/>
    <w:rsid w:val="00F67C8E"/>
    <w:rsid w:val="00F70A4D"/>
    <w:rsid w:val="00F7226E"/>
    <w:rsid w:val="00F72516"/>
    <w:rsid w:val="00F74655"/>
    <w:rsid w:val="00F74F90"/>
    <w:rsid w:val="00F75C2F"/>
    <w:rsid w:val="00F77AA2"/>
    <w:rsid w:val="00F805DE"/>
    <w:rsid w:val="00F81E7B"/>
    <w:rsid w:val="00F81EF5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A6D"/>
    <w:rsid w:val="00FA13AE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53F7"/>
    <w:rsid w:val="00FC5F38"/>
    <w:rsid w:val="00FC5FDE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2071"/>
    <w:rsid w:val="00FE273F"/>
    <w:rsid w:val="00FE50D3"/>
    <w:rsid w:val="00FE5A49"/>
    <w:rsid w:val="00FE5B4E"/>
    <w:rsid w:val="00FE66AF"/>
    <w:rsid w:val="00FE71B8"/>
    <w:rsid w:val="00FE729B"/>
    <w:rsid w:val="00FF02D9"/>
    <w:rsid w:val="00FF16B0"/>
    <w:rsid w:val="00FF3EF7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85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965E1"/>
  </w:style>
  <w:style w:type="paragraph" w:styleId="a6">
    <w:name w:val="footer"/>
    <w:basedOn w:val="a"/>
    <w:link w:val="a7"/>
    <w:uiPriority w:val="99"/>
    <w:unhideWhenUsed/>
    <w:rsid w:val="00B9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965E1"/>
  </w:style>
  <w:style w:type="character" w:styleId="a8">
    <w:name w:val="Hyperlink"/>
    <w:basedOn w:val="a0"/>
    <w:uiPriority w:val="99"/>
    <w:unhideWhenUsed/>
    <w:rsid w:val="00B96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2217</Words>
  <Characters>16089</Characters>
  <Application>Microsoft Office Word</Application>
  <DocSecurity>0</DocSecurity>
  <Lines>511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7</cp:revision>
  <dcterms:created xsi:type="dcterms:W3CDTF">2011-02-08T20:09:00Z</dcterms:created>
  <dcterms:modified xsi:type="dcterms:W3CDTF">2013-03-13T07:16:00Z</dcterms:modified>
</cp:coreProperties>
</file>