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D4" w:rsidRDefault="00AC31D4" w:rsidP="00AC31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31D4" w:rsidRDefault="00AC31D4" w:rsidP="00AC31D4">
      <w:pPr>
        <w:pStyle w:val="4"/>
        <w:keepNext w:val="0"/>
        <w:widowControl w:val="0"/>
        <w:suppressAutoHyphens/>
        <w:rPr>
          <w:szCs w:val="28"/>
        </w:rPr>
      </w:pPr>
      <w:r>
        <w:rPr>
          <w:szCs w:val="28"/>
        </w:rPr>
        <w:t>Государственное образовательное учреждение</w:t>
      </w:r>
    </w:p>
    <w:p w:rsidR="00AC31D4" w:rsidRDefault="00AC31D4" w:rsidP="00AC31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высшего профессионального образования </w:t>
      </w:r>
    </w:p>
    <w:p w:rsidR="00AC31D4" w:rsidRDefault="00AC31D4" w:rsidP="00AC31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1D4" w:rsidRPr="005848C2" w:rsidRDefault="00AC31D4" w:rsidP="00584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848C2">
        <w:rPr>
          <w:rFonts w:ascii="Times New Roman" w:hAnsi="Times New Roman" w:cs="Times New Roman"/>
          <w:sz w:val="28"/>
        </w:rPr>
        <w:t>ВСЕРОССИЙСКИЙ ЗАОЧНЫЙ ФИНАНСОВО-ЭКОНОМИЧЕСКИЙ</w:t>
      </w:r>
    </w:p>
    <w:p w:rsidR="00AC31D4" w:rsidRPr="005848C2" w:rsidRDefault="00AC31D4" w:rsidP="005848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48C2">
        <w:rPr>
          <w:rFonts w:ascii="Times New Roman" w:hAnsi="Times New Roman" w:cs="Times New Roman"/>
          <w:sz w:val="28"/>
        </w:rPr>
        <w:t>ИНСТИТУТ ФИЛИАЛ В Г. БАРНАУЛЕ</w:t>
      </w: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1"/>
        <w:gridCol w:w="4780"/>
      </w:tblGrid>
      <w:tr w:rsidR="00AC31D4" w:rsidTr="00AC31D4">
        <w:tc>
          <w:tcPr>
            <w:tcW w:w="4927" w:type="dxa"/>
            <w:shd w:val="clear" w:color="auto" w:fill="FFFFFF"/>
            <w:hideMark/>
          </w:tcPr>
          <w:p w:rsidR="00AC31D4" w:rsidRDefault="00AC31D4" w:rsidP="00361A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927" w:type="dxa"/>
            <w:shd w:val="clear" w:color="auto" w:fill="FFFFFF"/>
            <w:hideMark/>
          </w:tcPr>
          <w:p w:rsidR="00AC31D4" w:rsidRPr="005848C2" w:rsidRDefault="00AC31D4" w:rsidP="00361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848C2">
              <w:rPr>
                <w:rFonts w:ascii="Times New Roman" w:hAnsi="Times New Roman" w:cs="Times New Roman"/>
                <w:sz w:val="28"/>
              </w:rPr>
              <w:t>Региональная кафедра</w:t>
            </w:r>
          </w:p>
        </w:tc>
      </w:tr>
      <w:tr w:rsidR="00AC31D4" w:rsidTr="00AC31D4">
        <w:tc>
          <w:tcPr>
            <w:tcW w:w="4927" w:type="dxa"/>
            <w:shd w:val="clear" w:color="auto" w:fill="FFFFFF"/>
            <w:hideMark/>
          </w:tcPr>
          <w:p w:rsidR="00AC31D4" w:rsidRDefault="00AC31D4" w:rsidP="00361A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Учетно-статистический</w:t>
            </w:r>
          </w:p>
        </w:tc>
        <w:tc>
          <w:tcPr>
            <w:tcW w:w="4927" w:type="dxa"/>
            <w:shd w:val="clear" w:color="auto" w:fill="FFFFFF"/>
            <w:hideMark/>
          </w:tcPr>
          <w:p w:rsidR="00AC31D4" w:rsidRPr="005848C2" w:rsidRDefault="00AC31D4" w:rsidP="00361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848C2">
              <w:rPr>
                <w:rFonts w:ascii="Times New Roman" w:hAnsi="Times New Roman" w:cs="Times New Roman"/>
                <w:sz w:val="28"/>
              </w:rPr>
              <w:t>Финансы и кредит</w:t>
            </w:r>
          </w:p>
        </w:tc>
      </w:tr>
    </w:tbl>
    <w:p w:rsidR="00AC31D4" w:rsidRDefault="00AC31D4" w:rsidP="00361A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C31D4" w:rsidRDefault="00AC31D4" w:rsidP="00AC31D4">
      <w:pPr>
        <w:pStyle w:val="3"/>
        <w:keepNext w:val="0"/>
        <w:widowControl w:val="0"/>
        <w:suppressAutoHyphens/>
        <w:spacing w:line="360" w:lineRule="auto"/>
        <w:rPr>
          <w:szCs w:val="28"/>
        </w:rPr>
      </w:pPr>
      <w:r>
        <w:rPr>
          <w:szCs w:val="28"/>
        </w:rPr>
        <w:t xml:space="preserve">        </w:t>
      </w: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«Рынок ценных бумаг»</w:t>
      </w: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Инвестиционная политика кредитно-финансовых институтов на рынке ценных бумаг</w:t>
      </w:r>
      <w:r w:rsidR="00995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D4" w:rsidRDefault="00AC31D4" w:rsidP="00AC31D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6" w:type="dxa"/>
        <w:tblLook w:val="04A0"/>
      </w:tblPr>
      <w:tblGrid>
        <w:gridCol w:w="4837"/>
        <w:gridCol w:w="4829"/>
      </w:tblGrid>
      <w:tr w:rsidR="00AC31D4" w:rsidTr="00AC31D4">
        <w:trPr>
          <w:trHeight w:val="295"/>
        </w:trPr>
        <w:tc>
          <w:tcPr>
            <w:tcW w:w="4837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Выполнил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9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309"/>
        </w:trPr>
        <w:tc>
          <w:tcPr>
            <w:tcW w:w="4837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29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295"/>
        </w:trPr>
        <w:tc>
          <w:tcPr>
            <w:tcW w:w="4837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4829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309"/>
        </w:trPr>
        <w:tc>
          <w:tcPr>
            <w:tcW w:w="4837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29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1208"/>
        </w:trPr>
        <w:tc>
          <w:tcPr>
            <w:tcW w:w="4837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829" w:type="dxa"/>
            <w:hideMark/>
          </w:tcPr>
          <w:p w:rsidR="00AC31D4" w:rsidRDefault="00AC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604"/>
        </w:trPr>
        <w:tc>
          <w:tcPr>
            <w:tcW w:w="4837" w:type="dxa"/>
          </w:tcPr>
          <w:p w:rsidR="00AC31D4" w:rsidRDefault="00AC3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C31D4" w:rsidRDefault="00AC3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1D4" w:rsidRDefault="00AC3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</w:tcPr>
          <w:p w:rsidR="00AC31D4" w:rsidRDefault="00AC3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464"/>
        </w:trPr>
        <w:tc>
          <w:tcPr>
            <w:tcW w:w="4837" w:type="dxa"/>
          </w:tcPr>
          <w:p w:rsidR="00AC31D4" w:rsidRDefault="00AC31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</w:tcPr>
          <w:p w:rsidR="00AC31D4" w:rsidRDefault="00AC31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31D4" w:rsidTr="00AC31D4">
        <w:trPr>
          <w:trHeight w:val="1798"/>
        </w:trPr>
        <w:tc>
          <w:tcPr>
            <w:tcW w:w="4837" w:type="dxa"/>
          </w:tcPr>
          <w:p w:rsidR="00AC31D4" w:rsidRDefault="00AC31D4" w:rsidP="00361A1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</w:tcPr>
          <w:p w:rsidR="00AC31D4" w:rsidRDefault="00AC31D4" w:rsidP="00361A1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31D4" w:rsidRDefault="00AC31D4" w:rsidP="00361A14">
      <w:pPr>
        <w:pStyle w:val="4"/>
        <w:keepNext w:val="0"/>
        <w:widowControl w:val="0"/>
        <w:suppressAutoHyphens/>
        <w:spacing w:line="360" w:lineRule="auto"/>
      </w:pPr>
      <w:r>
        <w:rPr>
          <w:szCs w:val="28"/>
        </w:rPr>
        <w:t>Барнаул 2008</w:t>
      </w:r>
    </w:p>
    <w:p w:rsidR="003B2D56" w:rsidRPr="00071BD5" w:rsidRDefault="003B2D56" w:rsidP="003B2D56">
      <w:pPr>
        <w:jc w:val="center"/>
        <w:rPr>
          <w:rFonts w:ascii="Times New Roman" w:hAnsi="Times New Roman" w:cs="Times New Roman"/>
          <w:sz w:val="28"/>
        </w:rPr>
      </w:pPr>
      <w:r w:rsidRPr="00071BD5"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8346D">
        <w:fldChar w:fldCharType="begin"/>
      </w:r>
      <w:r w:rsidR="003B2D56">
        <w:instrText xml:space="preserve"> TOC \o "1-3" \h \z \u </w:instrText>
      </w:r>
      <w:r w:rsidRPr="0098346D">
        <w:fldChar w:fldCharType="separate"/>
      </w:r>
      <w:hyperlink w:anchor="_Toc213328634" w:history="1">
        <w:r w:rsidR="00481EE8" w:rsidRPr="001E0E9D">
          <w:rPr>
            <w:rStyle w:val="a3"/>
            <w:noProof/>
          </w:rPr>
          <w:t>ВВЕДЕНИЕ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328635" w:history="1">
        <w:r w:rsidR="00481EE8" w:rsidRPr="001E0E9D">
          <w:rPr>
            <w:rStyle w:val="a3"/>
            <w:noProof/>
          </w:rPr>
          <w:t>ГЛАВА 1. ОБЩАЯ ХАРАКТЕРИСТИКА ИНВЕСТИЦИЙ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328636" w:history="1">
        <w:r w:rsidR="00481EE8" w:rsidRPr="001E0E9D">
          <w:rPr>
            <w:rStyle w:val="a3"/>
            <w:noProof/>
          </w:rPr>
          <w:t>ГЛАВА 2. ИНВЕСТИЦИОННАЯ ПОЛИТИКА БАНКОВ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328637" w:history="1">
        <w:r w:rsidR="00481EE8" w:rsidRPr="001E0E9D">
          <w:rPr>
            <w:rStyle w:val="a3"/>
            <w:noProof/>
            <w:spacing w:val="-2"/>
          </w:rPr>
          <w:t xml:space="preserve">ГЛАВА 3. </w:t>
        </w:r>
        <w:r w:rsidR="00481EE8" w:rsidRPr="001E0E9D">
          <w:rPr>
            <w:rStyle w:val="a3"/>
            <w:noProof/>
          </w:rPr>
          <w:t>ИНВЕСТИЦИОННО-БАНКОВСКИЙ БИЗНЕС: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328638" w:history="1">
        <w:r w:rsidR="00481EE8" w:rsidRPr="001E0E9D">
          <w:rPr>
            <w:rStyle w:val="a3"/>
            <w:noProof/>
            <w:spacing w:val="-1"/>
          </w:rPr>
          <w:t>ЗАРУБЕЖНЫЙ ОПЫТ И РОССИЯ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328639" w:history="1">
        <w:r w:rsidR="00481EE8" w:rsidRPr="001E0E9D">
          <w:rPr>
            <w:rStyle w:val="a3"/>
            <w:noProof/>
          </w:rPr>
          <w:t>ЗАКЛЮЧЕНИЕ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1EE8" w:rsidRDefault="0098346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328640" w:history="1">
        <w:r w:rsidR="00481EE8" w:rsidRPr="001E0E9D">
          <w:rPr>
            <w:rStyle w:val="a3"/>
            <w:noProof/>
          </w:rPr>
          <w:t>ЛИТЕРАТУРА</w:t>
        </w:r>
        <w:r w:rsidR="00481E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1EE8">
          <w:rPr>
            <w:noProof/>
            <w:webHidden/>
          </w:rPr>
          <w:instrText xml:space="preserve"> PAGEREF _Toc213328640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2FF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B2D56" w:rsidRDefault="0098346D" w:rsidP="003B2D56">
      <w:r>
        <w:fldChar w:fldCharType="end"/>
      </w: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3B2D56" w:rsidRDefault="003B2D56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481EE8" w:rsidRDefault="00481EE8" w:rsidP="00BA3DB9">
      <w:pPr>
        <w:shd w:val="clear" w:color="auto" w:fill="FFFFFF"/>
        <w:spacing w:before="936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BA3DB9" w:rsidRPr="00C1644D" w:rsidRDefault="00BA3DB9" w:rsidP="005848C2">
      <w:pPr>
        <w:pStyle w:val="3"/>
        <w:spacing w:line="360" w:lineRule="auto"/>
      </w:pPr>
      <w:bookmarkStart w:id="0" w:name="_Toc213328634"/>
      <w:r w:rsidRPr="00C1644D">
        <w:lastRenderedPageBreak/>
        <w:t>ВВЕДЕНИЕ</w:t>
      </w:r>
      <w:bookmarkEnd w:id="0"/>
    </w:p>
    <w:p w:rsidR="00380ED9" w:rsidRDefault="00380ED9" w:rsidP="00584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F5D">
        <w:rPr>
          <w:rFonts w:ascii="Times New Roman" w:hAnsi="Times New Roman" w:cs="Times New Roman"/>
          <w:sz w:val="28"/>
        </w:rPr>
        <w:t>Инвестициями (инвестиционными ресурсами) являются денежные средства, целевые банковские вклады, паи, акции и другие ценные бумаги, технологии, машины, оборудование, лицензии, в том числе и на товарные знаки, кредиты, любое другое имущество или имущественные права, интеллектуальные ценности, вкладываемые в объекты предпринимательской деятельности и другие виды деятельности в целях получения прибыли (дохода) и достижения положительного экономического и социального эффекта.</w:t>
      </w:r>
    </w:p>
    <w:p w:rsidR="00FF4B5B" w:rsidRPr="00071EB8" w:rsidRDefault="00FF4B5B" w:rsidP="00FF4B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Федеральному</w:t>
      </w:r>
      <w:r w:rsidRPr="009C5887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у о</w:t>
      </w:r>
      <w:r w:rsidRPr="009C5887">
        <w:rPr>
          <w:rFonts w:ascii="Times New Roman" w:hAnsi="Times New Roman" w:cs="Times New Roman"/>
          <w:sz w:val="28"/>
        </w:rPr>
        <w:t>т 25.02.199</w:t>
      </w:r>
      <w:r>
        <w:rPr>
          <w:rFonts w:ascii="Times New Roman" w:hAnsi="Times New Roman" w:cs="Times New Roman"/>
          <w:sz w:val="28"/>
        </w:rPr>
        <w:t>9 N 39-ФЗ (ред. о</w:t>
      </w:r>
      <w:r w:rsidRPr="009C5887">
        <w:rPr>
          <w:rFonts w:ascii="Times New Roman" w:hAnsi="Times New Roman" w:cs="Times New Roman"/>
          <w:sz w:val="28"/>
        </w:rPr>
        <w:t>т 4.07.2007)</w:t>
      </w:r>
      <w:r>
        <w:rPr>
          <w:rFonts w:ascii="Times New Roman" w:hAnsi="Times New Roman" w:cs="Times New Roman"/>
          <w:sz w:val="28"/>
        </w:rPr>
        <w:t xml:space="preserve"> </w:t>
      </w:r>
      <w:r w:rsidRPr="006D41F1">
        <w:rPr>
          <w:rFonts w:ascii="Times New Roman" w:hAnsi="Times New Roman" w:cs="Times New Roman"/>
          <w:sz w:val="28"/>
        </w:rPr>
        <w:t>"...инвестиции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 w:rsidRPr="00071EB8">
        <w:rPr>
          <w:rFonts w:ascii="Times New Roman" w:hAnsi="Times New Roman" w:cs="Times New Roman"/>
          <w:sz w:val="28"/>
        </w:rPr>
        <w:t>;..."[4]</w:t>
      </w:r>
    </w:p>
    <w:p w:rsidR="00BA3DB9" w:rsidRPr="00CE7D88" w:rsidRDefault="0039717A" w:rsidP="0039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E7D88">
        <w:rPr>
          <w:rFonts w:ascii="Times New Roman" w:eastAsia="Times New Roman" w:hAnsi="Times New Roman" w:cs="Times New Roman"/>
          <w:color w:val="000000"/>
          <w:sz w:val="28"/>
          <w:szCs w:val="24"/>
        </w:rPr>
        <w:t>Российское законодательство делает равнодоступным участие всех инвестиционных институтов на рынке ценных бумаг. В частности, нет ограничений и на подобную деятельность коммерческих банков. Следует отметить, что уже сейчас не менее половины иностранных банков, заре</w:t>
      </w:r>
      <w:r w:rsidRPr="00CE7D8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гистрированных в России, работает по принцип</w:t>
      </w:r>
      <w:r w:rsidR="00621176">
        <w:rPr>
          <w:rFonts w:ascii="Times New Roman" w:eastAsia="Times New Roman" w:hAnsi="Times New Roman" w:cs="Times New Roman"/>
          <w:color w:val="000000"/>
          <w:sz w:val="28"/>
          <w:szCs w:val="24"/>
        </w:rPr>
        <w:t>у инвестиционных. Если учесть, ч</w:t>
      </w:r>
      <w:r w:rsidRPr="00CE7D88">
        <w:rPr>
          <w:rFonts w:ascii="Times New Roman" w:eastAsia="Times New Roman" w:hAnsi="Times New Roman" w:cs="Times New Roman"/>
          <w:color w:val="000000"/>
          <w:sz w:val="28"/>
          <w:szCs w:val="24"/>
        </w:rPr>
        <w:t>то в мире инвестиционные банки составляют лишь небольшой процент всей массы банков различной специализации, то их активная экспансия в России становится очень примечательным явлением.</w:t>
      </w:r>
    </w:p>
    <w:p w:rsidR="00BA3DB9" w:rsidRDefault="00BA3DB9" w:rsidP="00BA3D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7D88" w:rsidRDefault="00CE7D88" w:rsidP="00BA3DB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BA3DB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BA3DB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BA3DB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BA3DB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848C2" w:rsidRDefault="005848C2" w:rsidP="00BA3DB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A3DB9" w:rsidRPr="00AC4C2B" w:rsidRDefault="00071BD5" w:rsidP="005848C2">
      <w:pPr>
        <w:pStyle w:val="3"/>
        <w:spacing w:line="360" w:lineRule="auto"/>
        <w:rPr>
          <w:bCs/>
          <w:spacing w:val="-17"/>
        </w:rPr>
      </w:pPr>
      <w:bookmarkStart w:id="1" w:name="_Toc213328635"/>
      <w:r>
        <w:lastRenderedPageBreak/>
        <w:t>ГЛАВА</w:t>
      </w:r>
      <w:r w:rsidR="00BA3DB9" w:rsidRPr="00AC4C2B">
        <w:t xml:space="preserve"> 1.</w:t>
      </w:r>
      <w:r w:rsidR="00BA3DB9">
        <w:t xml:space="preserve"> </w:t>
      </w:r>
      <w:r w:rsidRPr="00071BD5">
        <w:t>ОБЩАЯ ХАРАКТЕРИСТИКА ИНВЕСТИЦИЙ</w:t>
      </w:r>
      <w:bookmarkEnd w:id="1"/>
    </w:p>
    <w:p w:rsidR="006C7C55" w:rsidRDefault="006C7C55" w:rsidP="00584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F5D">
        <w:rPr>
          <w:rFonts w:ascii="Times New Roman" w:hAnsi="Times New Roman" w:cs="Times New Roman"/>
          <w:sz w:val="28"/>
        </w:rPr>
        <w:t>Развитие общества в целом и отдельных хозяйствующих субъектов базируется на расширенном воспроизводстве материальных ценностей, обеспечивающем рост национального имущества и соответственно дохода. Одним из основных средств обеспечения этого роста является инвестиционная деятельность, включающая процессы вложения инвестиций, или инвестирование, а также совокупность практических действий по реализации инвестиций.</w:t>
      </w:r>
    </w:p>
    <w:p w:rsidR="00FF4B5B" w:rsidRPr="0036776F" w:rsidRDefault="00FF4B5B" w:rsidP="00FF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6F">
        <w:rPr>
          <w:rFonts w:ascii="Times New Roman" w:hAnsi="Times New Roman" w:cs="Times New Roman"/>
          <w:sz w:val="28"/>
          <w:szCs w:val="28"/>
        </w:rPr>
        <w:t>Под инвестиционной политикой банков понимается совокупность мероприятий, направленных на разработку и реализацию стратегии по управлению портфелем инвестиций, достижение оптимального сочетания прямых и портфельных инвестиций в целях обеспечения нормальной деятельности, увеличения прибыльности операций, поддержания допустимого уровня их рискованности и ликвидности баланса. Она разрабатывается руководством банка (возможно, совместно с консультирующим его по этим вопросам учреждением). Важнейший элемент инвестиционной политики — разработка стратегии и тактики управления валютно-финансовым портфелем банка, включающим наряду с прочими его элементами портфель инвестиций.</w:t>
      </w:r>
    </w:p>
    <w:p w:rsidR="001F1ABD" w:rsidRPr="00F85F5D" w:rsidRDefault="001F1ABD" w:rsidP="00F85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F5D">
        <w:rPr>
          <w:rFonts w:ascii="Times New Roman" w:hAnsi="Times New Roman" w:cs="Times New Roman"/>
          <w:sz w:val="28"/>
        </w:rPr>
        <w:t>Объектами инвестиционной деятельности являются вновь создаваемые и модернизируемые фонды и оборотные средства во всех отраслях и сферах народного хозяйства РФ,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собственность.</w:t>
      </w:r>
    </w:p>
    <w:p w:rsidR="001F1ABD" w:rsidRPr="00F85F5D" w:rsidRDefault="001F1ABD" w:rsidP="00F85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F5D">
        <w:rPr>
          <w:rFonts w:ascii="Times New Roman" w:hAnsi="Times New Roman" w:cs="Times New Roman"/>
          <w:sz w:val="28"/>
        </w:rPr>
        <w:t xml:space="preserve">Субъектами инвестиционной деятельности являются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инвестиционного процесса. Субъектами инвестиционной </w:t>
      </w:r>
      <w:r w:rsidRPr="00F85F5D">
        <w:rPr>
          <w:rFonts w:ascii="Times New Roman" w:hAnsi="Times New Roman" w:cs="Times New Roman"/>
          <w:sz w:val="28"/>
        </w:rPr>
        <w:lastRenderedPageBreak/>
        <w:t>деятельности могут быть физические и юридические лица, в том числе иностранные, а также государства и международные организации.</w:t>
      </w:r>
    </w:p>
    <w:p w:rsidR="001C1D3D" w:rsidRPr="005C1D3C" w:rsidRDefault="001C1D3D" w:rsidP="00F85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F5D">
        <w:rPr>
          <w:rFonts w:ascii="Times New Roman" w:hAnsi="Times New Roman" w:cs="Times New Roman"/>
          <w:sz w:val="28"/>
        </w:rPr>
        <w:t>Все инвесторы имеют равные права на осуществление инвестиционной деятельности. Деятельность участников инвестиционной деятельности регулируется законодательством РФ, международными соглашениями и нормативными документами</w:t>
      </w:r>
      <w:r w:rsidRPr="005C1D3C">
        <w:rPr>
          <w:rFonts w:ascii="Times New Roman" w:hAnsi="Times New Roman" w:cs="Times New Roman"/>
          <w:sz w:val="28"/>
        </w:rPr>
        <w:t>.</w:t>
      </w:r>
      <w:r w:rsidR="00230846" w:rsidRPr="005C1D3C">
        <w:rPr>
          <w:rFonts w:ascii="Times New Roman" w:hAnsi="Times New Roman" w:cs="Times New Roman"/>
          <w:sz w:val="28"/>
        </w:rPr>
        <w:t>[</w:t>
      </w:r>
      <w:r w:rsidR="00912776">
        <w:rPr>
          <w:rFonts w:ascii="Times New Roman" w:hAnsi="Times New Roman" w:cs="Times New Roman"/>
          <w:sz w:val="28"/>
        </w:rPr>
        <w:t>5</w:t>
      </w:r>
      <w:r w:rsidR="00230846" w:rsidRPr="005C1D3C">
        <w:rPr>
          <w:rFonts w:ascii="Times New Roman" w:hAnsi="Times New Roman" w:cs="Times New Roman"/>
          <w:sz w:val="28"/>
        </w:rPr>
        <w:t>]</w:t>
      </w:r>
    </w:p>
    <w:p w:rsidR="00690AF2" w:rsidRPr="00F85F5D" w:rsidRDefault="00690AF2" w:rsidP="00F83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F5D">
        <w:rPr>
          <w:rFonts w:ascii="Times New Roman" w:hAnsi="Times New Roman" w:cs="Times New Roman"/>
          <w:sz w:val="28"/>
        </w:rPr>
        <w:t xml:space="preserve">По объектам инвестиционной деятельности различаются </w:t>
      </w:r>
      <w:r w:rsidRPr="00F83932">
        <w:rPr>
          <w:rFonts w:ascii="Times New Roman" w:hAnsi="Times New Roman" w:cs="Times New Roman"/>
          <w:i/>
          <w:sz w:val="28"/>
        </w:rPr>
        <w:t>реальные</w:t>
      </w:r>
      <w:r w:rsidRPr="00F85F5D">
        <w:rPr>
          <w:rFonts w:ascii="Times New Roman" w:hAnsi="Times New Roman" w:cs="Times New Roman"/>
          <w:sz w:val="28"/>
        </w:rPr>
        <w:t xml:space="preserve"> и </w:t>
      </w:r>
      <w:r w:rsidRPr="00F83932">
        <w:rPr>
          <w:rFonts w:ascii="Times New Roman" w:hAnsi="Times New Roman" w:cs="Times New Roman"/>
          <w:i/>
          <w:sz w:val="28"/>
        </w:rPr>
        <w:t>финансовые инвестиции</w:t>
      </w:r>
      <w:r w:rsidRPr="00F85F5D">
        <w:rPr>
          <w:rFonts w:ascii="Times New Roman" w:hAnsi="Times New Roman" w:cs="Times New Roman"/>
          <w:sz w:val="28"/>
        </w:rPr>
        <w:t xml:space="preserve">. Под реальными инвестициями понимают вложения средств в реальные активы — как материальные, так и нематериальные (так, вложения средств в мероприятия научно-технического прогресса называют инновационными инвестициями). Под финансовыми инвестициями понимают вложения средств в различные финансовые инструменты (активы), среди которых наиболее значимую долю занимают вложения средств в ценные бумаги. </w:t>
      </w:r>
    </w:p>
    <w:p w:rsidR="00E5238F" w:rsidRDefault="00E5238F" w:rsidP="00690AF2"/>
    <w:p w:rsidR="00E5238F" w:rsidRDefault="00E5238F" w:rsidP="00690AF2"/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E7D88" w:rsidRDefault="00CE7D88" w:rsidP="00C975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975EB" w:rsidRDefault="00C975EB" w:rsidP="005848C2">
      <w:pPr>
        <w:pStyle w:val="3"/>
        <w:spacing w:line="360" w:lineRule="auto"/>
      </w:pPr>
      <w:bookmarkStart w:id="2" w:name="_Toc213328636"/>
      <w:r>
        <w:lastRenderedPageBreak/>
        <w:t>ГЛАВА</w:t>
      </w:r>
      <w:r w:rsidRPr="00AC4C2B">
        <w:t xml:space="preserve"> </w:t>
      </w:r>
      <w:r>
        <w:t>2</w:t>
      </w:r>
      <w:r w:rsidRPr="00AC4C2B">
        <w:t>.</w:t>
      </w:r>
      <w:r>
        <w:t xml:space="preserve"> </w:t>
      </w:r>
      <w:r w:rsidRPr="00C975EB">
        <w:t>ИНВЕСТИЦИОННАЯ ПОЛИТИКА БАНКОВ</w:t>
      </w:r>
      <w:bookmarkEnd w:id="2"/>
    </w:p>
    <w:p w:rsidR="000018E2" w:rsidRDefault="008B6363" w:rsidP="00584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банк – </w:t>
      </w:r>
      <w:r w:rsidR="000018E2" w:rsidRPr="000D2C5C">
        <w:rPr>
          <w:rFonts w:ascii="Times New Roman" w:hAnsi="Times New Roman" w:cs="Times New Roman"/>
          <w:sz w:val="28"/>
          <w:szCs w:val="28"/>
        </w:rPr>
        <w:t>это кредитно-финансовый институт, специализирующийся на организации и размещении выпуска ценных бумаг. Основными функциями таких банков принято считать эмиссионно-уч</w:t>
      </w:r>
      <w:r w:rsidR="000D2C5C" w:rsidRPr="000D2C5C">
        <w:rPr>
          <w:rFonts w:ascii="Times New Roman" w:hAnsi="Times New Roman" w:cs="Times New Roman"/>
          <w:sz w:val="28"/>
          <w:szCs w:val="28"/>
        </w:rPr>
        <w:t>редительские и посреднические</w:t>
      </w:r>
      <w:r w:rsidR="000018E2" w:rsidRPr="000D2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D88" w:rsidRPr="00FF22F6" w:rsidRDefault="00CE7D88" w:rsidP="00CE7D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российском законодательстве нет четкого определения понятия ин</w:t>
      </w:r>
      <w:r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вестиционного банка. Анализ законодательной базы фондового рынка в России позволяет сделать вывод о том, что коммерческие банки могут выступать как инвестиционные. Как правило, в период радикальных экономических реформ практика идет впереди законодательства, а ин</w:t>
      </w:r>
      <w:r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вестиционная банковская деятельность развивается более значительными темпами, чем ее законодательное регулирование</w:t>
      </w:r>
      <w:r w:rsidRPr="00FF22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22F6" w:rsidRPr="00FF22F6">
        <w:rPr>
          <w:rFonts w:ascii="Times New Roman" w:eastAsia="Times New Roman" w:hAnsi="Times New Roman" w:cs="Times New Roman"/>
          <w:color w:val="000000"/>
          <w:sz w:val="28"/>
          <w:szCs w:val="28"/>
        </w:rPr>
        <w:t>[1, с.245]</w:t>
      </w:r>
    </w:p>
    <w:p w:rsidR="0059253F" w:rsidRPr="0059253F" w:rsidRDefault="00230846" w:rsidP="0059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Под инвестиционной деятельностью банка на рынке ценных бумаг понимают деятельность </w:t>
      </w:r>
      <w:r w:rsidRPr="00B70F2A">
        <w:rPr>
          <w:rFonts w:ascii="Times New Roman" w:hAnsi="Times New Roman" w:cs="Times New Roman"/>
          <w:bCs/>
          <w:i/>
          <w:spacing w:val="-17"/>
          <w:sz w:val="28"/>
          <w:szCs w:val="28"/>
        </w:rPr>
        <w:t>по вложению средств в ценные бумаги от своего имени и по своей инициативе с целью получения прямых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(дивиденды, проценты, доход от продажи) </w:t>
      </w:r>
      <w:r w:rsidRPr="00B70F2A">
        <w:rPr>
          <w:rFonts w:ascii="Times New Roman" w:hAnsi="Times New Roman" w:cs="Times New Roman"/>
          <w:bCs/>
          <w:i/>
          <w:spacing w:val="-17"/>
          <w:sz w:val="28"/>
          <w:szCs w:val="28"/>
        </w:rPr>
        <w:t>и косвенных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(усиление контроля над дочерними и зависимыми обществами и др.) </w:t>
      </w:r>
      <w:r w:rsidRPr="00B70F2A">
        <w:rPr>
          <w:rFonts w:ascii="Times New Roman" w:hAnsi="Times New Roman" w:cs="Times New Roman"/>
          <w:bCs/>
          <w:i/>
          <w:spacing w:val="-17"/>
          <w:sz w:val="28"/>
          <w:szCs w:val="28"/>
        </w:rPr>
        <w:t>доходов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. Объектами банковских инвестиций могут выступать разнообразные ценные бумаги, как эмиссионные (акции, облигации), так и неэмиссионные (депозитные сертификаты, векселя). Совокупность ценных бумаг, принадлежащих коммерческому банку, принято называть портфелем ценных бумаг. </w:t>
      </w:r>
      <w:r w:rsidR="0059253F" w:rsidRPr="0059253F">
        <w:rPr>
          <w:rFonts w:ascii="Times New Roman" w:hAnsi="Times New Roman" w:cs="Times New Roman"/>
          <w:sz w:val="28"/>
        </w:rPr>
        <w:t xml:space="preserve">Инвестиционный портфель (портфель инвестиций) — совокупность средств, вложенных в ценные бумаги сторонних юридических лиц и приобретенных банком, а также размещенных в виде срочных вкладов иных банковских и кредитно-финансовых учреждений, включая средства в иностранной валюте и вложения в иностранные ценные бумаги. </w:t>
      </w:r>
    </w:p>
    <w:p w:rsidR="0071504E" w:rsidRDefault="00230846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Портфель ценных бумаг коммерческого банка выполняет три взаимосвязанные функции: прирост стоимости, создание резерва ликвидности и обеспечение участия в управлении другими компаниями. </w:t>
      </w:r>
    </w:p>
    <w:p w:rsidR="00B70F2A" w:rsidRDefault="00B70F2A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B70F2A">
        <w:rPr>
          <w:rFonts w:ascii="Times New Roman" w:hAnsi="Times New Roman" w:cs="Times New Roman"/>
          <w:bCs/>
          <w:spacing w:val="-17"/>
          <w:sz w:val="28"/>
          <w:szCs w:val="28"/>
        </w:rPr>
        <w:t>Несмотря на то</w:t>
      </w:r>
      <w:r w:rsidR="00CE7D88">
        <w:rPr>
          <w:rFonts w:ascii="Times New Roman" w:hAnsi="Times New Roman" w:cs="Times New Roman"/>
          <w:bCs/>
          <w:spacing w:val="-17"/>
          <w:sz w:val="28"/>
          <w:szCs w:val="28"/>
        </w:rPr>
        <w:t>,</w:t>
      </w:r>
      <w:r w:rsidRPr="00B70F2A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что при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формировании собственного портфеля ценных бумаг банки используют те же инструменты и методы управления, что и другие 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lastRenderedPageBreak/>
        <w:t>инвестиционные компании, портфель ценных бумаг коммерческого банка имеет следующие особенности:</w:t>
      </w:r>
    </w:p>
    <w:p w:rsidR="00B70F2A" w:rsidRDefault="00B70F2A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B70F2A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1. Портфель ценных бумаг коммерческого банка находится в тесной связи со </w:t>
      </w:r>
      <w:r w:rsidRPr="00B70F2A">
        <w:rPr>
          <w:rFonts w:ascii="Times New Roman" w:hAnsi="Times New Roman" w:cs="Times New Roman"/>
          <w:bCs/>
          <w:i/>
          <w:spacing w:val="-17"/>
          <w:sz w:val="28"/>
          <w:szCs w:val="28"/>
        </w:rPr>
        <w:t>структурой активов и пассивов</w:t>
      </w:r>
      <w:r w:rsidR="0078264B">
        <w:rPr>
          <w:rFonts w:ascii="Times New Roman" w:hAnsi="Times New Roman" w:cs="Times New Roman"/>
          <w:bCs/>
          <w:i/>
          <w:spacing w:val="-17"/>
          <w:sz w:val="28"/>
          <w:szCs w:val="28"/>
        </w:rPr>
        <w:t xml:space="preserve"> </w:t>
      </w:r>
      <w:r w:rsidR="0078264B">
        <w:rPr>
          <w:rFonts w:ascii="Times New Roman" w:hAnsi="Times New Roman" w:cs="Times New Roman"/>
          <w:bCs/>
          <w:spacing w:val="-17"/>
          <w:sz w:val="28"/>
          <w:szCs w:val="28"/>
        </w:rPr>
        <w:t>кредитной организации, которые должны быть между собой сбалансированы по срокам.</w:t>
      </w:r>
    </w:p>
    <w:p w:rsidR="0078264B" w:rsidRDefault="0078264B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2. Банк обладает определенной степенью </w:t>
      </w:r>
      <w:r>
        <w:rPr>
          <w:rFonts w:ascii="Times New Roman" w:hAnsi="Times New Roman" w:cs="Times New Roman"/>
          <w:bCs/>
          <w:i/>
          <w:spacing w:val="-17"/>
          <w:sz w:val="28"/>
          <w:szCs w:val="28"/>
        </w:rPr>
        <w:t xml:space="preserve">мобильности по перераспределению собственных активов 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как в ценные бумаги, так и обратно (в другие виды имущества).</w:t>
      </w:r>
    </w:p>
    <w:p w:rsidR="0078264B" w:rsidRDefault="0078264B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3. Портфель ценных бумаг коммерческого банка является важнейшим </w:t>
      </w:r>
      <w:r>
        <w:rPr>
          <w:rFonts w:ascii="Times New Roman" w:hAnsi="Times New Roman" w:cs="Times New Roman"/>
          <w:bCs/>
          <w:i/>
          <w:spacing w:val="-17"/>
          <w:sz w:val="28"/>
          <w:szCs w:val="28"/>
        </w:rPr>
        <w:t>инструментом</w:t>
      </w:r>
      <w:r w:rsidR="00FE2BF3">
        <w:rPr>
          <w:rFonts w:ascii="Times New Roman" w:hAnsi="Times New Roman" w:cs="Times New Roman"/>
          <w:bCs/>
          <w:i/>
          <w:spacing w:val="-17"/>
          <w:sz w:val="28"/>
          <w:szCs w:val="28"/>
        </w:rPr>
        <w:t xml:space="preserve"> управления процентным риском.</w:t>
      </w:r>
    </w:p>
    <w:p w:rsidR="00FE2BF3" w:rsidRDefault="00FE2BF3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4. Портфель ценных бумаг коммерческого банка, как правило, имеет консервативный характер, выражающийся в </w:t>
      </w:r>
      <w:r>
        <w:rPr>
          <w:rFonts w:ascii="Times New Roman" w:hAnsi="Times New Roman" w:cs="Times New Roman"/>
          <w:bCs/>
          <w:i/>
          <w:spacing w:val="-17"/>
          <w:sz w:val="28"/>
          <w:szCs w:val="28"/>
        </w:rPr>
        <w:t xml:space="preserve">наибольшем удельном весе государственных облигаций 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в общей структуре портфеля ценных бумаг.</w:t>
      </w:r>
    </w:p>
    <w:p w:rsidR="00FE2BF3" w:rsidRDefault="00FE2BF3" w:rsidP="00230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>Портфель эмиссионных ценных бумаг в зависимости от целей их приобретения подразделяют на:</w:t>
      </w:r>
    </w:p>
    <w:p w:rsidR="00FE2BF3" w:rsidRDefault="00A23FE0" w:rsidP="00A23FE0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>инвестиционный портфель;</w:t>
      </w:r>
    </w:p>
    <w:p w:rsidR="00A23FE0" w:rsidRDefault="00A23FE0" w:rsidP="00A23FE0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>торговый портфель;</w:t>
      </w:r>
    </w:p>
    <w:p w:rsidR="00A23FE0" w:rsidRDefault="00A23FE0" w:rsidP="00A23FE0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>портфель торгового участия.</w:t>
      </w:r>
    </w:p>
    <w:p w:rsidR="0071504E" w:rsidRDefault="00A23FE0" w:rsidP="007150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>Порядок отнесения ценной бумаги к конкретному портфелю закреплен Правилами ведения бухгалтерского учета в кредитных организациях, расположенных на территории Российской Федерации (положение Банка России от 5.12.02 г. №</w:t>
      </w:r>
      <w:r w:rsidR="00170777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>205-П) (в ред. от 11.04.</w:t>
      </w:r>
      <w:r w:rsidR="0071504E">
        <w:rPr>
          <w:rFonts w:ascii="Times New Roman" w:hAnsi="Times New Roman" w:cs="Times New Roman"/>
          <w:bCs/>
          <w:spacing w:val="-17"/>
          <w:sz w:val="28"/>
          <w:szCs w:val="28"/>
        </w:rPr>
        <w:t>05 г.).</w:t>
      </w:r>
      <w:r w:rsidR="0071504E" w:rsidRPr="0071504E">
        <w:rPr>
          <w:rFonts w:ascii="Arial" w:hAnsi="Arial" w:cs="Arial"/>
          <w:bCs/>
          <w:spacing w:val="-17"/>
          <w:sz w:val="28"/>
          <w:szCs w:val="28"/>
        </w:rPr>
        <w:t xml:space="preserve"> </w:t>
      </w:r>
      <w:r w:rsidR="0071504E" w:rsidRPr="007958A7">
        <w:rPr>
          <w:rFonts w:ascii="Times New Roman" w:hAnsi="Times New Roman" w:cs="Times New Roman"/>
          <w:bCs/>
          <w:spacing w:val="-17"/>
          <w:sz w:val="28"/>
          <w:szCs w:val="28"/>
        </w:rPr>
        <w:t>[</w:t>
      </w:r>
      <w:r w:rsidR="00FE556C">
        <w:rPr>
          <w:rFonts w:ascii="Times New Roman" w:hAnsi="Times New Roman" w:cs="Times New Roman"/>
          <w:bCs/>
          <w:spacing w:val="-17"/>
          <w:sz w:val="28"/>
          <w:szCs w:val="28"/>
        </w:rPr>
        <w:t>3</w:t>
      </w:r>
      <w:r w:rsidR="0071504E" w:rsidRPr="007958A7">
        <w:rPr>
          <w:rFonts w:ascii="Times New Roman" w:hAnsi="Times New Roman" w:cs="Times New Roman"/>
          <w:bCs/>
          <w:spacing w:val="-17"/>
          <w:sz w:val="28"/>
          <w:szCs w:val="28"/>
        </w:rPr>
        <w:t>, с.51]</w:t>
      </w:r>
    </w:p>
    <w:p w:rsidR="00314403" w:rsidRPr="00314403" w:rsidRDefault="00314403" w:rsidP="007150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>В рамках инвестиционной деятельности банки проводят операции по покупке</w:t>
      </w:r>
      <w:r w:rsidR="00A35547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и продаже ценных бумаг; привлечении кредитов под залог приобретенных ценных бумаг; операции по реализации прав, удостоверенных ценными бумагами (получение процентов и дивидендов, участие в управлении акционерными обществами и др.)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Инвестиционная деятельность банков определяется их местом в экономике и инвестиционном процессе в целом. Представляется возможным выделить следующие существенные для инвестиционного процесса роли банков: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1) банки - ядро холдинга или финансово-промышленной группы;</w:t>
      </w:r>
    </w:p>
    <w:p w:rsidR="00952BE2" w:rsidRPr="00AF0ADB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lastRenderedPageBreak/>
        <w:t>2) инвестиционн</w:t>
      </w:r>
      <w:r w:rsidR="00AF0ADB">
        <w:rPr>
          <w:rFonts w:ascii="Times New Roman" w:hAnsi="Times New Roman" w:cs="Times New Roman"/>
          <w:sz w:val="28"/>
          <w:szCs w:val="28"/>
        </w:rPr>
        <w:t>ые банки первого и второго вида;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3) банки, осуществляющие свою инвестиционную деятельность в режиме обычных предприятий. Это банки, специализирующиеся на неинвестиционной деятельности. Например, экспортно-импортные банки, кредитующие торгово-закупочную деятельность и др.</w:t>
      </w:r>
    </w:p>
    <w:p w:rsidR="00952BE2" w:rsidRPr="00952BE2" w:rsidRDefault="00AF0ADB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задачи банка-</w:t>
      </w:r>
      <w:r w:rsidR="00952BE2" w:rsidRPr="00952BE2">
        <w:rPr>
          <w:rFonts w:ascii="Times New Roman" w:hAnsi="Times New Roman" w:cs="Times New Roman"/>
          <w:sz w:val="28"/>
          <w:szCs w:val="28"/>
        </w:rPr>
        <w:t>ядра определяются их участием в составе холдингов и финансово-промышленных групп, где они выполняют центральную роль. Это может предполагать выполнение банком ряда функций, таких, например, как: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1) определение направлений развития холдингов и финансово-промышленных групп;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2) стратегическое планирование развития, включая разработку планов слияний и продаж неэффективных и излишних производств, не соответствующих общей направленности холдинга и финансово-промышленной группы: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3) клиринговая деятельность между предприятиями-участниками;</w:t>
      </w:r>
    </w:p>
    <w:p w:rsidR="00952BE2" w:rsidRPr="00952BE2" w:rsidRDefault="00AF0ADB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2BE2" w:rsidRPr="00952BE2">
        <w:rPr>
          <w:rFonts w:ascii="Times New Roman" w:hAnsi="Times New Roman" w:cs="Times New Roman"/>
          <w:sz w:val="28"/>
          <w:szCs w:val="28"/>
        </w:rPr>
        <w:t>техническая реализации расчетов между предприятиями-участниками;</w:t>
      </w:r>
    </w:p>
    <w:p w:rsidR="00952BE2" w:rsidRPr="00952BE2" w:rsidRDefault="00952BE2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5) финансирование лизинговых операций и другое.</w:t>
      </w:r>
    </w:p>
    <w:p w:rsidR="00952BE2" w:rsidRPr="00952BE2" w:rsidRDefault="00AF0ADB" w:rsidP="00AF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Холдинг</w:t>
      </w:r>
      <w:r w:rsidR="0014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371">
        <w:rPr>
          <w:rFonts w:ascii="Times New Roman" w:hAnsi="Times New Roman" w:cs="Times New Roman"/>
          <w:sz w:val="28"/>
          <w:szCs w:val="28"/>
        </w:rPr>
        <w:t xml:space="preserve"> </w:t>
      </w:r>
      <w:r w:rsidR="00952BE2" w:rsidRPr="00952BE2">
        <w:rPr>
          <w:rFonts w:ascii="Times New Roman" w:hAnsi="Times New Roman" w:cs="Times New Roman"/>
          <w:sz w:val="28"/>
          <w:szCs w:val="28"/>
        </w:rPr>
        <w:t>это многофункциональная организационно-производственная система, уставный капитал которой составляют контрольные пакеты акций ее подразделений, являющихся самостоятельными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2BE2" w:rsidRPr="00952BE2">
        <w:rPr>
          <w:rFonts w:ascii="Times New Roman" w:hAnsi="Times New Roman" w:cs="Times New Roman"/>
          <w:sz w:val="28"/>
          <w:szCs w:val="28"/>
        </w:rPr>
        <w:t xml:space="preserve"> открытыми или закрытыми акционерными обществами.</w:t>
      </w:r>
    </w:p>
    <w:p w:rsidR="00952BE2" w:rsidRPr="00952BE2" w:rsidRDefault="00952BE2" w:rsidP="00F9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Финансовый менеджмент холдингов включает разработку и реализацию такой инвестиционной политики, которая обеспечила бы адаптацию всей структуры холдинга к изменению рыночной ситуации. Для этого могут проводиться продажи неэффективных или не соответствующих направлению развития предприятий холдинга, и, наоборот, приобретаться новые, нужные холдингу структуры.</w:t>
      </w:r>
    </w:p>
    <w:p w:rsidR="00952BE2" w:rsidRPr="00952BE2" w:rsidRDefault="00952BE2" w:rsidP="00F9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lastRenderedPageBreak/>
        <w:t>План развития хозяйственного портфеля является одним из способов адаптации холдинга или финансово-промышленной группы при изменении рыночной среды или необходимости повышения их живучести. Основным исходным этапом стратегического планирования является анализ хозяйственного портфеля фирмы. При этом оценивают положение всех входящих в состав фирмы производств.</w:t>
      </w:r>
    </w:p>
    <w:p w:rsidR="00952BE2" w:rsidRPr="00952BE2" w:rsidRDefault="003A0921" w:rsidP="00F9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банки</w:t>
      </w:r>
      <w:r w:rsidR="00952BE2" w:rsidRPr="00952BE2">
        <w:rPr>
          <w:rFonts w:ascii="Times New Roman" w:hAnsi="Times New Roman" w:cs="Times New Roman"/>
          <w:sz w:val="28"/>
          <w:szCs w:val="28"/>
        </w:rPr>
        <w:t>-ядра при практической реализации программ развития либо выполняют роль инвестиционного банка, либо взаимодействуют с инвестиционными банками. В настоящее время различают д</w:t>
      </w:r>
      <w:r w:rsidR="00F95510">
        <w:rPr>
          <w:rFonts w:ascii="Times New Roman" w:hAnsi="Times New Roman" w:cs="Times New Roman"/>
          <w:sz w:val="28"/>
          <w:szCs w:val="28"/>
        </w:rPr>
        <w:t>ва типа инвестиционных банков</w:t>
      </w:r>
      <w:r w:rsidR="00952BE2" w:rsidRPr="00952BE2">
        <w:rPr>
          <w:rFonts w:ascii="Times New Roman" w:hAnsi="Times New Roman" w:cs="Times New Roman"/>
          <w:sz w:val="28"/>
          <w:szCs w:val="28"/>
        </w:rPr>
        <w:t>.</w:t>
      </w:r>
    </w:p>
    <w:p w:rsidR="00952BE2" w:rsidRPr="00952BE2" w:rsidRDefault="00952BE2" w:rsidP="00E0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6">
        <w:rPr>
          <w:rFonts w:ascii="Times New Roman" w:hAnsi="Times New Roman" w:cs="Times New Roman"/>
          <w:sz w:val="28"/>
          <w:szCs w:val="28"/>
        </w:rPr>
        <w:t xml:space="preserve">Инвестиционные банки </w:t>
      </w:r>
      <w:r w:rsidRPr="00E02606">
        <w:rPr>
          <w:rFonts w:ascii="Times New Roman" w:hAnsi="Times New Roman" w:cs="Times New Roman"/>
          <w:i/>
          <w:sz w:val="28"/>
          <w:szCs w:val="28"/>
        </w:rPr>
        <w:t>первого типа</w:t>
      </w:r>
      <w:r w:rsidRPr="00E02606">
        <w:rPr>
          <w:rFonts w:ascii="Times New Roman" w:hAnsi="Times New Roman" w:cs="Times New Roman"/>
          <w:sz w:val="28"/>
          <w:szCs w:val="28"/>
        </w:rPr>
        <w:t xml:space="preserve"> занимаются исключительно торговлей и размещением</w:t>
      </w:r>
      <w:r w:rsidRPr="00952BE2">
        <w:rPr>
          <w:rFonts w:ascii="Times New Roman" w:hAnsi="Times New Roman" w:cs="Times New Roman"/>
          <w:sz w:val="28"/>
          <w:szCs w:val="28"/>
        </w:rPr>
        <w:t xml:space="preserve"> ценных бумаг. Как правило, они проводят операции корпоративного сектора экономики. Они выступают посредниками при размещении эмиссий акций и облигаций предприятиями промышленности, торговли, транспорта и др. Для обслуживания рынка ценных бумаг они выполняют и такие функции:</w:t>
      </w:r>
    </w:p>
    <w:p w:rsidR="00952BE2" w:rsidRPr="00952BE2" w:rsidRDefault="00952BE2" w:rsidP="00E0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- осуществляют вторичное размещение акций и облигаций;</w:t>
      </w:r>
    </w:p>
    <w:p w:rsidR="00952BE2" w:rsidRPr="00952BE2" w:rsidRDefault="00952BE2" w:rsidP="00E0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- выступают посредниками при размещении международных ценных бумаг (например, еврооблигаций) на рынке евровалют;</w:t>
      </w:r>
    </w:p>
    <w:p w:rsidR="00952BE2" w:rsidRPr="00952BE2" w:rsidRDefault="00952BE2" w:rsidP="00E0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- консультируют корпорации по вопросам инвестиционной стратегии, прогнозов и сценариев размещения конкретных видов ценных бумаг, бухгалтерского учета и отчетности и др.</w:t>
      </w:r>
    </w:p>
    <w:p w:rsidR="00952BE2" w:rsidRPr="00952BE2" w:rsidRDefault="00952BE2" w:rsidP="00E0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За рубежом без участия такого типа банков практически невозможно продать эмитируемые ценные бумаги.</w:t>
      </w:r>
    </w:p>
    <w:p w:rsidR="00952BE2" w:rsidRPr="00952BE2" w:rsidRDefault="00952BE2" w:rsidP="0099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6">
        <w:rPr>
          <w:rFonts w:ascii="Times New Roman" w:hAnsi="Times New Roman" w:cs="Times New Roman"/>
          <w:sz w:val="28"/>
          <w:szCs w:val="28"/>
        </w:rPr>
        <w:t xml:space="preserve">Инвестиционные банки </w:t>
      </w:r>
      <w:r w:rsidRPr="00E02606">
        <w:rPr>
          <w:rFonts w:ascii="Times New Roman" w:hAnsi="Times New Roman" w:cs="Times New Roman"/>
          <w:i/>
          <w:sz w:val="28"/>
          <w:szCs w:val="28"/>
        </w:rPr>
        <w:t>второго типа</w:t>
      </w:r>
      <w:r w:rsidRPr="00E02606">
        <w:rPr>
          <w:rFonts w:ascii="Times New Roman" w:hAnsi="Times New Roman" w:cs="Times New Roman"/>
          <w:sz w:val="28"/>
          <w:szCs w:val="28"/>
        </w:rPr>
        <w:t xml:space="preserve"> занимаются среднесрочным и долгосрочным кредитованием</w:t>
      </w:r>
      <w:r w:rsidRPr="00952BE2">
        <w:rPr>
          <w:rFonts w:ascii="Times New Roman" w:hAnsi="Times New Roman" w:cs="Times New Roman"/>
          <w:sz w:val="28"/>
          <w:szCs w:val="28"/>
        </w:rPr>
        <w:t xml:space="preserve"> различных отраслей хозяйства, а также различных целевых проектов, связанных с внедрением передовых технологий и достижений научно-технической революции. Зачастую это государственные или смешанные банки. Они активно участвуют в реализации правительственных программ социально-экономического </w:t>
      </w:r>
      <w:r w:rsidRPr="00952BE2">
        <w:rPr>
          <w:rFonts w:ascii="Times New Roman" w:hAnsi="Times New Roman" w:cs="Times New Roman"/>
          <w:sz w:val="28"/>
          <w:szCs w:val="28"/>
        </w:rPr>
        <w:lastRenderedPageBreak/>
        <w:t>развития и планов стабилизации экономики. Особенность деятельности таких инвестиционных банков в том, что они выполняют наиболее рискованные операции по среднесрочному и долгосрочному кредитованию с привлечением кредитов коммерческих банков и других кредитно-финансовых институтов. Такие банки могут действовать (например, в Японии) как траст-банки.</w:t>
      </w:r>
    </w:p>
    <w:p w:rsidR="00952BE2" w:rsidRPr="00952BE2" w:rsidRDefault="00952BE2" w:rsidP="0099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>Банки, являющиеся ядром финансово-промышленных групп, играют роль инвестиционных банков первого типа при формировании и изменении состава группы, а второго типа - при реализации стратегий технологического развития производства и маркетинговых стратегий.</w:t>
      </w:r>
    </w:p>
    <w:p w:rsidR="00952BE2" w:rsidRPr="00952BE2" w:rsidRDefault="00952BE2" w:rsidP="00794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2">
        <w:rPr>
          <w:rFonts w:ascii="Times New Roman" w:hAnsi="Times New Roman" w:cs="Times New Roman"/>
          <w:sz w:val="28"/>
          <w:szCs w:val="28"/>
        </w:rPr>
        <w:t xml:space="preserve">Представляется возможным утверждать, что в остальном инвестиционная деятельность банков близка инвестиционной деятельности предприятий. </w:t>
      </w:r>
    </w:p>
    <w:p w:rsidR="00A23FE0" w:rsidRPr="00952BE2" w:rsidRDefault="00A23FE0" w:rsidP="00952BE2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</w:p>
    <w:p w:rsidR="00CD40EC" w:rsidRDefault="00CD40EC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D40EC" w:rsidRDefault="00CD40EC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D40EC" w:rsidRDefault="00CD40EC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D40EC" w:rsidRDefault="00CD40EC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36D3" w:rsidRDefault="009F36D3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D40EC" w:rsidRDefault="00CD40EC" w:rsidP="007323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D1240" w:rsidRPr="00FD1240" w:rsidRDefault="00EF1DD3" w:rsidP="005848C2">
      <w:pPr>
        <w:pStyle w:val="3"/>
        <w:spacing w:line="360" w:lineRule="auto"/>
        <w:rPr>
          <w:sz w:val="20"/>
        </w:rPr>
      </w:pPr>
      <w:bookmarkStart w:id="3" w:name="_Toc213328637"/>
      <w:r>
        <w:rPr>
          <w:spacing w:val="-2"/>
          <w:szCs w:val="28"/>
        </w:rPr>
        <w:lastRenderedPageBreak/>
        <w:t>ГЛАВА</w:t>
      </w:r>
      <w:r w:rsidRPr="00AC4C2B">
        <w:rPr>
          <w:spacing w:val="-2"/>
          <w:szCs w:val="28"/>
        </w:rPr>
        <w:t xml:space="preserve"> </w:t>
      </w:r>
      <w:r>
        <w:rPr>
          <w:spacing w:val="-2"/>
          <w:szCs w:val="28"/>
        </w:rPr>
        <w:t>3</w:t>
      </w:r>
      <w:r w:rsidR="0073239A">
        <w:rPr>
          <w:spacing w:val="-2"/>
          <w:szCs w:val="28"/>
        </w:rPr>
        <w:t xml:space="preserve">. </w:t>
      </w:r>
      <w:r w:rsidR="00FD1240" w:rsidRPr="00FD1240">
        <w:t>ИНВЕСТИЦИОННО-БАНКОВСКИЙ БИЗНЕС:</w:t>
      </w:r>
      <w:bookmarkEnd w:id="3"/>
    </w:p>
    <w:p w:rsidR="00FD1240" w:rsidRPr="00FD1240" w:rsidRDefault="00FD1240" w:rsidP="005848C2">
      <w:pPr>
        <w:pStyle w:val="3"/>
        <w:spacing w:line="360" w:lineRule="auto"/>
        <w:rPr>
          <w:sz w:val="20"/>
        </w:rPr>
      </w:pPr>
      <w:bookmarkStart w:id="4" w:name="_Toc213328638"/>
      <w:r w:rsidRPr="00FD1240">
        <w:rPr>
          <w:spacing w:val="-1"/>
        </w:rPr>
        <w:t>ЗАРУБЕЖНЫЙ ОПЫТ И РОССИЯ</w:t>
      </w:r>
      <w:bookmarkEnd w:id="4"/>
    </w:p>
    <w:p w:rsidR="00B016A4" w:rsidRPr="00B016A4" w:rsidRDefault="00B016A4" w:rsidP="00584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t xml:space="preserve">онец </w:t>
      </w:r>
      <w:r w:rsidRPr="00B016A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Pr="00B016A4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t xml:space="preserve"> столетия ознаменовались усилением финансовой глобализации, бурным рос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том и дерегулированием финансовых рынков, стремительным развитием новых банковских технологий и финансовых инструментов, масштабным движением как прямых, так и портфельных инвести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ций. Только прямые иностранные инвестиции в развивающиеся и переходные экономики в 2005 г. состави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ли 359,1 млрд дол. США, увеличившись по сравнению с 2003 г. более чем вдвое. Достигнутый уровень сохраняется и в настоящее время. Важно отметить, что новые, динамично развивающиеся рынки (прежде всего азиатские и стран с переходной экономикой) остро нуждаются в инвестициях и в то же время весьма привлекательны для инвесторов.</w:t>
      </w:r>
    </w:p>
    <w:p w:rsidR="003C449A" w:rsidRPr="00B016A4" w:rsidRDefault="00B016A4" w:rsidP="00B016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B016A4">
        <w:rPr>
          <w:rFonts w:ascii="Times New Roman" w:eastAsia="Times New Roman" w:hAnsi="Times New Roman" w:cs="Times New Roman"/>
          <w:sz w:val="28"/>
          <w:szCs w:val="28"/>
        </w:rPr>
        <w:t>Развитие финансовых институтов, специализирующихся на инвести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ционных операциях, их вторжение в устоявшиеся банковские ниши, слияния, затрагивающие финансовый и корпоративный секторы, привели к размыванию границ между банковским и небанковскими рыночными сегментами. В этих условиях, естественно, усиливаются позиции инвестиционных банков, особенно с уче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том происходящей модернизации их структуры и функций, которые сочетают в себе «зоны ответственно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сти» классического банка, инвестиционной фирмы и брокера. В развитых странах инвестиционные банки уже доказали свою эффективность, однако существует огромный недоиспользованный потенциал расшире</w:t>
      </w:r>
      <w:r w:rsidRPr="00B016A4">
        <w:rPr>
          <w:rFonts w:ascii="Times New Roman" w:eastAsia="Times New Roman" w:hAnsi="Times New Roman" w:cs="Times New Roman"/>
          <w:sz w:val="28"/>
          <w:szCs w:val="28"/>
        </w:rPr>
        <w:softHyphen/>
        <w:t>ния их деятельности в развивающихся и переходных экономиках, в частности, в России, которая является одной из наиболее перспективных стран с точки зрения инвестиционной привлекательности.</w:t>
      </w:r>
    </w:p>
    <w:p w:rsidR="009A3B70" w:rsidRPr="009A3B70" w:rsidRDefault="009A3B70" w:rsidP="009A3B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70">
        <w:rPr>
          <w:rFonts w:ascii="Times New Roman" w:eastAsia="Times New Roman" w:hAnsi="Times New Roman" w:cs="Times New Roman"/>
          <w:sz w:val="28"/>
          <w:szCs w:val="28"/>
        </w:rPr>
        <w:t>В 2006 г. заметно увеличились иностранные инвестиции в банковский сектор России. Капитал банков с иностранным участием свыше 50% вырос в 2006 г. со 115,5 до 214,9 млрд</w:t>
      </w:r>
      <w:r w:rsidR="008232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руб., или на 86% (при этом доля его в капитале банковского сектора возросла с 9,3 до 12,7%). Прогнозируемое 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присутствия дочерних иностранных банков и банков с участием иностранного капитала будет способствовать не только росту капитализации российского банковского сектора, но и прямому внедрению зарубежного банковского опыта, в том числе в инвестиционном бизнесе.</w:t>
      </w:r>
    </w:p>
    <w:p w:rsidR="009A3B70" w:rsidRPr="009A3B70" w:rsidRDefault="009A3B70" w:rsidP="009A3B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70">
        <w:rPr>
          <w:rFonts w:ascii="Times New Roman" w:eastAsia="Times New Roman" w:hAnsi="Times New Roman" w:cs="Times New Roman"/>
          <w:sz w:val="28"/>
          <w:szCs w:val="28"/>
        </w:rPr>
        <w:t>Кроме того, следует отметить увеличение масштабов инвестиционно-банковского бизнеса. Российские коммерческие банки все активнее занимаются приобретением акций и облигаций, андеррайтингом, доверительными, брокерскими и другими инвестиционными операциями. Доминирующее положение на рынке этих финансовых услуг принадлежит крупным банкам, обладающим обширной клиентской базой, в которую входят в том числе и такие инсти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>туциональные инвесторы, как негосударственные пенсионные фонды, страховые и инвестиционные ком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>пании.</w:t>
      </w:r>
    </w:p>
    <w:p w:rsidR="009A3B70" w:rsidRPr="009A3B70" w:rsidRDefault="009A3B70" w:rsidP="009A3B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70">
        <w:rPr>
          <w:rFonts w:ascii="Times New Roman" w:eastAsia="Times New Roman" w:hAnsi="Times New Roman" w:cs="Times New Roman"/>
          <w:sz w:val="28"/>
          <w:szCs w:val="28"/>
        </w:rPr>
        <w:t>Ведущими организаторами облигационных займов на внутреннем рынке по итогам 2006 г. были Газ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>промбанк (он участвовал в размещении облигаций 22 эмитентов на общую сумму 65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руб.), ВТБ (29 эмитентов на общую сумму 52,4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руб.), Росбанк (28 эмитентов на общую сумму 40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 xml:space="preserve">. руб.), 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>Райф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>файзенбанк (16 эмитентов на общую сумму 32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руб.).</w:t>
      </w:r>
    </w:p>
    <w:p w:rsidR="009F55EF" w:rsidRDefault="009A3B70" w:rsidP="00BA6E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70">
        <w:rPr>
          <w:rFonts w:ascii="Times New Roman" w:eastAsia="Times New Roman" w:hAnsi="Times New Roman" w:cs="Times New Roman"/>
          <w:sz w:val="28"/>
          <w:szCs w:val="28"/>
        </w:rPr>
        <w:t>Крупнейшими организаторами размещения облигаций российских эмитентов на международном рын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ке стали иностранные банки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Citigroup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(общая сумма размещенных облигаций 2,94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Barclays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Capital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(2,75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JP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Morgan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Chase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(2,63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UBS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(2,62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Credit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Suisse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(2,57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Deutsche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Bank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(2,56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Merril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70">
        <w:rPr>
          <w:rFonts w:ascii="Times New Roman" w:eastAsia="Times New Roman" w:hAnsi="Times New Roman" w:cs="Times New Roman"/>
          <w:sz w:val="28"/>
          <w:szCs w:val="28"/>
          <w:lang w:val="en-US"/>
        </w:rPr>
        <w:t>Lynch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(1,98 млрд</w:t>
      </w:r>
      <w:r w:rsidR="004808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 и др. Наряду с ними организаторами размещений облигаций на внешних рынках выступают и российские банки, лидирующее положение среди которых занимают Инвестиционный банк ТРАСТ (458 млн</w:t>
      </w:r>
      <w:r w:rsidR="00ED4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Ренессанс Капитал (440 млн</w:t>
      </w:r>
      <w:r w:rsidR="00ED4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МДМ-Банк (425 млн</w:t>
      </w:r>
      <w:r w:rsidR="00ED4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КИТ Финанс Инвестиционный банк (315 млн</w:t>
      </w:r>
      <w:r w:rsidR="00ED4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дол.), Альфа-Банк (180 млн</w:t>
      </w:r>
      <w:r w:rsidR="00ED4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дол.). Транс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>кредитбанк (165 млн</w:t>
      </w:r>
      <w:r w:rsidR="00ED4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t xml:space="preserve"> дол.).</w:t>
      </w:r>
    </w:p>
    <w:p w:rsidR="00BA6E96" w:rsidRPr="00BA6E96" w:rsidRDefault="009A3B70" w:rsidP="00BA6E9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3B70">
        <w:rPr>
          <w:rFonts w:ascii="Times New Roman" w:eastAsia="Times New Roman" w:hAnsi="Times New Roman" w:cs="Times New Roman"/>
          <w:sz w:val="28"/>
          <w:szCs w:val="28"/>
        </w:rPr>
        <w:lastRenderedPageBreak/>
        <w:t>В последние годы облигации российских эмитентов уверенно завоевывают позиции на международном рынке капитала. Среди предприятий корпоративного сектора можно отметить успешные размещения евро</w:t>
      </w:r>
      <w:r w:rsidRPr="009A3B70">
        <w:rPr>
          <w:rFonts w:ascii="Times New Roman" w:eastAsia="Times New Roman" w:hAnsi="Times New Roman" w:cs="Times New Roman"/>
          <w:sz w:val="28"/>
          <w:szCs w:val="28"/>
        </w:rPr>
        <w:softHyphen/>
        <w:t>облигаций ОАО «Газпром», ЗАО «Интер РАО ЕЭС», ТНК-ВР, Вымпелкома, Цснтртелекома, Компании</w:t>
      </w:r>
      <w:r w:rsidR="00BA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E96">
        <w:rPr>
          <w:rFonts w:ascii="Times New Roman" w:eastAsia="Times New Roman" w:hAnsi="Times New Roman" w:cs="Times New Roman"/>
          <w:spacing w:val="-6"/>
          <w:sz w:val="16"/>
          <w:szCs w:val="16"/>
        </w:rPr>
        <w:t>«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Русский стандарт», ОАО «Концерн 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SITRONIKS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», РБК, Холдинга «Проф-Медиа», ОАО «Российские же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BA6E96"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лезные дороги», Энергомашкорпорации. Облигации ряда российских банков, включая Сбербанк России, </w:t>
      </w:r>
      <w:r w:rsid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ВТБ, Банк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Москвы, Банк Русский стандарт, Росбанк, Банк Зенит, Промсвязьбанк, Россельхозбанк, Газ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BA6E96"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промбанк, пользовались на международном рынке высоким спросом и были приобретены инвесторами на 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выгодных для российских ба</w:t>
      </w:r>
      <w:r w:rsid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нков условиях.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НОМОС-БАНК успешно разместил несколько траншей евро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BA6E96"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облигаций, в том числе в январе 2007 г. завершил размещение четвертого выпуска трехлетних евробондов в 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форме сертификатов участия в кредите (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Loan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Participation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Notes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) на общую сумму в 200 млн</w:t>
      </w:r>
      <w:r w:rsid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. дол. (ли</w:t>
      </w:r>
      <w:r w:rsidR="00BA6E96"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</w:rPr>
        <w:t xml:space="preserve">менеджеры выпуска банки 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  <w:lang w:val="en-US"/>
        </w:rPr>
        <w:t>UBS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  <w:lang w:val="en-US"/>
        </w:rPr>
        <w:t>JP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  <w:lang w:val="en-US"/>
        </w:rPr>
        <w:t>Morgan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  <w:lang w:val="en-US"/>
        </w:rPr>
        <w:t>Chase</w:t>
      </w:r>
      <w:r w:rsidR="00BA6E96" w:rsidRPr="00BA6E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6E96" w:rsidRPr="00912776" w:rsidRDefault="00BA6E96" w:rsidP="00BA6E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>На внутреннем рынке андеррайтинга лидирующие позиции занимали Газпромбанк (35,2 млрд</w:t>
      </w:r>
      <w:r w:rsidR="000E7608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руб.), ВТБ (31,5 млрд</w:t>
      </w:r>
      <w:r w:rsidR="000E76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>руб.), Дойче Банк (25,6 млрд</w:t>
      </w:r>
      <w:r w:rsidR="000E7608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руб.), Росбанк (24 млрд</w:t>
      </w:r>
      <w:r w:rsidR="000E7608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руб.), ФК Уралсиб (22,7 млрд</w:t>
      </w:r>
      <w:r w:rsidR="000E7608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руб.),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Банк Союз (21,3 млрд</w:t>
      </w:r>
      <w:r w:rsidR="000E760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руб.), ММБ (18,8 млрд</w:t>
      </w:r>
      <w:r w:rsidR="000E760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руб.), Райффайзенбанк (18 млрд</w:t>
      </w:r>
      <w:r w:rsidR="000E760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руб.), НОМОС-БАНК (15,7 </w:t>
      </w:r>
      <w:r w:rsidRPr="00BA6E96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="000E7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z w:val="28"/>
          <w:szCs w:val="28"/>
        </w:rPr>
        <w:t xml:space="preserve"> руб.), Ситибанк (13,7 млрд</w:t>
      </w:r>
      <w:r w:rsidR="000E7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z w:val="28"/>
          <w:szCs w:val="28"/>
        </w:rPr>
        <w:t xml:space="preserve"> руб.), Ренессанс Капитал (12,2 млрд</w:t>
      </w:r>
      <w:r w:rsidR="000E7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6E96">
        <w:rPr>
          <w:rFonts w:ascii="Times New Roman" w:eastAsia="Times New Roman" w:hAnsi="Times New Roman" w:cs="Times New Roman"/>
          <w:sz w:val="28"/>
          <w:szCs w:val="28"/>
        </w:rPr>
        <w:t xml:space="preserve"> руб.).</w:t>
      </w:r>
      <w:r w:rsidR="008A5706" w:rsidRPr="008A5706">
        <w:rPr>
          <w:rFonts w:ascii="Arial" w:hAnsi="Arial" w:cs="Arial"/>
          <w:bCs/>
          <w:spacing w:val="-17"/>
          <w:sz w:val="28"/>
          <w:szCs w:val="28"/>
        </w:rPr>
        <w:t xml:space="preserve"> </w:t>
      </w:r>
      <w:r w:rsidR="008A5706" w:rsidRPr="00912776">
        <w:rPr>
          <w:rFonts w:ascii="Times New Roman" w:hAnsi="Times New Roman" w:cs="Times New Roman"/>
          <w:bCs/>
          <w:spacing w:val="-17"/>
          <w:sz w:val="28"/>
          <w:szCs w:val="28"/>
        </w:rPr>
        <w:t>[</w:t>
      </w:r>
      <w:r w:rsidR="00FE556C">
        <w:rPr>
          <w:rFonts w:ascii="Times New Roman" w:hAnsi="Times New Roman" w:cs="Times New Roman"/>
          <w:bCs/>
          <w:spacing w:val="-17"/>
          <w:sz w:val="28"/>
          <w:szCs w:val="28"/>
        </w:rPr>
        <w:t>2</w:t>
      </w:r>
      <w:r w:rsidR="008A5706" w:rsidRPr="00912776">
        <w:rPr>
          <w:rFonts w:ascii="Times New Roman" w:hAnsi="Times New Roman" w:cs="Times New Roman"/>
          <w:bCs/>
          <w:spacing w:val="-17"/>
          <w:sz w:val="28"/>
          <w:szCs w:val="28"/>
        </w:rPr>
        <w:t>, с.25-26]</w:t>
      </w:r>
    </w:p>
    <w:p w:rsidR="00BA6E96" w:rsidRPr="00BA6E96" w:rsidRDefault="00BA6E96" w:rsidP="00BA6E9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В России в последние годы развивалось и такое важное направление инвестиционно-банковской дея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тельности, как синдицированное кредитование. Организаторами синдицированных кредитов пока высту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пают преимущественно иностранные банки (прежде всего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ABN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AMRO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Barclays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Capital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BNP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Paribas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Citi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group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Commerzbank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Drezdner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Bank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RZB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Standard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Bank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др.). Вместе с тем некоторые российские банки, в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t>частности, ВТБ и Банк Москвы также успешно проявляют себя в роли организаторов таких операций. Воз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можности привлечения ресурсов на международном рынке синдицированных кредитов активно использу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ют многие российские банки, что дает дополнительные 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источники как для кредитования и реализации ин</w:t>
      </w:r>
      <w:r w:rsidRPr="00BA6E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вестиционных проектов клиентов в различных отраслях экономики, так и для целей собственного развития, 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>в частности региональной экспансии. Например, НОМОС-БАНК за последние годы привлек 9 синдициро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ванных кредитов на общую сумму более 600 млн</w:t>
      </w:r>
      <w:r w:rsidR="003F2920">
        <w:rPr>
          <w:rFonts w:ascii="Times New Roman" w:eastAsia="Times New Roman" w:hAnsi="Times New Roman" w:cs="Times New Roman"/>
          <w:spacing w:val="-7"/>
          <w:sz w:val="28"/>
          <w:szCs w:val="28"/>
        </w:rPr>
        <w:t>. дол., в том числе шесть син</w:t>
      </w:r>
      <w:r w:rsidRPr="00BA6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дикаций были направлены на </w:t>
      </w:r>
      <w:r w:rsidRPr="00BA6E96">
        <w:rPr>
          <w:rFonts w:ascii="Times New Roman" w:eastAsia="Times New Roman" w:hAnsi="Times New Roman" w:cs="Times New Roman"/>
          <w:sz w:val="28"/>
          <w:szCs w:val="28"/>
        </w:rPr>
        <w:t>финансирование золотодобычи.</w:t>
      </w:r>
    </w:p>
    <w:p w:rsidR="00BA6E96" w:rsidRPr="00BA6E96" w:rsidRDefault="00BA6E96" w:rsidP="00BA6E9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1E7A86">
        <w:rPr>
          <w:rFonts w:ascii="Times New Roman" w:eastAsia="Times New Roman" w:hAnsi="Times New Roman" w:cs="Times New Roman"/>
          <w:spacing w:val="-7"/>
          <w:sz w:val="28"/>
          <w:szCs w:val="28"/>
        </w:rPr>
        <w:t>Важно отметить, что за последние годы значительно улучшились условия привлечения российскими заемщиками ресурсов на международном рынке, диверсифицировались используемые формы и инструмен</w:t>
      </w:r>
      <w:r w:rsidRPr="001E7A8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ты, существенно увеличилось число компаний и банков, которым доступны указанные формы мобилизации </w:t>
      </w:r>
      <w:r w:rsidRPr="001E7A86">
        <w:rPr>
          <w:rFonts w:ascii="Times New Roman" w:eastAsia="Times New Roman" w:hAnsi="Times New Roman" w:cs="Times New Roman"/>
          <w:spacing w:val="-6"/>
          <w:sz w:val="28"/>
          <w:szCs w:val="28"/>
        </w:rPr>
        <w:t>финансовых ресурсов. Вместе с тем неразвитость правовой и институциональной инфраструктуры и преж</w:t>
      </w:r>
      <w:r w:rsidRPr="001E7A8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 всего отсутствие специализированных финансовых институтов и правовых основ для применения ряда банковских и финансовых технологий в сфере инвестиций в значительной мере сдерживает рост инвести</w:t>
      </w:r>
      <w:r w:rsidRPr="001E7A8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1E7A86">
        <w:rPr>
          <w:rFonts w:ascii="Times New Roman" w:eastAsia="Times New Roman" w:hAnsi="Times New Roman" w:cs="Times New Roman"/>
          <w:spacing w:val="-7"/>
          <w:sz w:val="28"/>
          <w:szCs w:val="28"/>
        </w:rPr>
        <w:t>ций в российскую экономику. Как показывает мировая практика, исключительно важную роль в инвести</w:t>
      </w:r>
      <w:r w:rsidRPr="001E7A8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ционном процессе играют инвестиционные банки, являющиеся высокоэффективным инструментом моби</w:t>
      </w:r>
      <w:r w:rsidRPr="001E7A8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1E7A86">
        <w:rPr>
          <w:rFonts w:ascii="Times New Roman" w:eastAsia="Times New Roman" w:hAnsi="Times New Roman" w:cs="Times New Roman"/>
          <w:sz w:val="28"/>
          <w:szCs w:val="28"/>
        </w:rPr>
        <w:t>лизации капитала, как на внутреннем, так и на международном рынках.</w:t>
      </w:r>
    </w:p>
    <w:p w:rsidR="009A3B70" w:rsidRPr="00545FF6" w:rsidRDefault="00545FF6" w:rsidP="00545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международной инвестиционно-банковской сфере, в частности, в США в последние десятилетия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произошли существенные изменения, которые подтверждают эффективность деятельности инвестицион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ных банков, но в то же время отражают процесс модернизации их структуры и диверсификации операций.</w:t>
      </w:r>
    </w:p>
    <w:p w:rsidR="00545FF6" w:rsidRPr="00545FF6" w:rsidRDefault="00545FF6" w:rsidP="00545FF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В целом в последние годы инвестиционные банки США демонстрируют динамичные показатели раз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вития. Например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,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2005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.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рентабельность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акционерного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капитала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="008904BC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Chicago M</w:t>
      </w:r>
      <w:r w:rsidR="008904BC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rcannile Exchange Hold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соста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softHyphen/>
      </w:r>
      <w:r w:rsidRPr="00545FF6">
        <w:rPr>
          <w:rFonts w:ascii="Times New Roman" w:eastAsia="Times New Roman" w:hAnsi="Times New Roman" w:cs="Times New Roman"/>
          <w:spacing w:val="-5"/>
          <w:sz w:val="28"/>
          <w:szCs w:val="28"/>
        </w:rPr>
        <w:t>вила</w:t>
      </w:r>
      <w:r w:rsidRPr="00545FF6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32,4%, Ameritrade Holding Corp. - 25,3, Mellon Financial Corp. - 21,9, Lehman Brothers Holdings Inc -</w:t>
      </w:r>
      <w:r w:rsidRPr="00545FF6">
        <w:rPr>
          <w:rFonts w:ascii="Times New Roman" w:eastAsia="Times New Roman" w:hAnsi="Times New Roman" w:cs="Times New Roman"/>
          <w:sz w:val="28"/>
          <w:szCs w:val="28"/>
          <w:lang w:val="en-US"/>
        </w:rPr>
        <w:t>20,74, Goldman Sachs Group - 20,5%.</w:t>
      </w:r>
    </w:p>
    <w:p w:rsidR="00545FF6" w:rsidRPr="00545FF6" w:rsidRDefault="00545FF6" w:rsidP="00545FF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Инвестиционные банки имеют весьма развитую организационную структуру, включающую помимо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специализированных подразделений и групп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менеджеров также нередко десятки фирм, действующих в той или иной сфере инвестиционно-банковской деятельности. Сложность и комплексный характер многих сде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лок требуют одновременного участия в их реализации различных функциональных подразделений и струк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тур, специализирующихся на брокерском обслуживании на финансовых и валютных рынках, андеррайтин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ге, корпоративном финансировании, доверительном управлении и других видах банковских услуг. Специа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листы инвестиционных банков параллельно контактируют с инвесторами, эмитентами, другими банками, что объективно ведет к формированию сложной сети гибких внутренних и внешних связей. Инвестицион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ные банки - это своего рода финансовые супермаркеты, которые обладают большими технологическими и финансовыми возможностями, обеспечивающими им конкурентные преимущества. Российские инвесторы </w:t>
      </w:r>
      <w:r w:rsidRPr="00545FF6">
        <w:rPr>
          <w:rFonts w:ascii="Times New Roman" w:eastAsia="Times New Roman" w:hAnsi="Times New Roman" w:cs="Times New Roman"/>
          <w:spacing w:val="-4"/>
          <w:sz w:val="28"/>
          <w:szCs w:val="28"/>
        </w:rPr>
        <w:t>и эмитенты, несомненно, заинтересованы именно в таком комплексном характере инвестиционно-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банковского обслуживания, а мобильность и гибкость организационной структуры инвестиционных банков в условиях существенной изменчивости внешней среды смогут принести победу в конкурентной борьбе.</w:t>
      </w:r>
    </w:p>
    <w:p w:rsidR="00545FF6" w:rsidRPr="00545FF6" w:rsidRDefault="00545FF6" w:rsidP="00545FF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Важное направление деятельности инвестиционных банков - участие в сделках по слияниям и погло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щениям (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mergers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and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acquisitions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M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&amp;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), что свидетельствует о распространенности этих операций и их привлекательности для инвестиционных банков. В последние голы наблюдался значительный рост сделок М&amp;А в США, Европе и в мире в целом (в первой половине 2006 г. мировой объем этих сделок достиг 1,8 трлн</w:t>
      </w:r>
      <w:r w:rsidR="001B326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дол.). В США в 2005 г. только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Goldman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Sachs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обслужил сделки по слиянию и поглощению более чем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на 594 млрд</w:t>
      </w:r>
      <w:r w:rsidR="001B326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дол., что на 22% больше, чем в 2004 г. В России в последние годы также наблюдается значи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45F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тельный интерес инвесторов к сделкам М&amp;А (в 2006 г., по оценке экспертов, было осуществлено более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1000 таких сделок на общую сумму 60-70 млрд</w:t>
      </w:r>
      <w:r w:rsidR="001B326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дол., причем каждая шестая - с участием иностранных ком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45FF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паний), Наработанные в этой области технологии американских инвестиционных банков, безусловно,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актуальны для России, и их применение будет востребовано как эмитентами, так и инвесторами.</w:t>
      </w:r>
    </w:p>
    <w:p w:rsidR="00545FF6" w:rsidRPr="00545FF6" w:rsidRDefault="00545FF6" w:rsidP="00545FF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Обозначились (и сохраняются в настоящее время) тенденции, когда компании прибегают к услугам все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большего числа банков, а проведение многих инвестиционно-банковских операций, особенно крупных,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связано с образованием банковских пулов и синдикатов. Синдикации в инвестиционно-банковском бизнесе позволяют мобилизовать значительные финансовые ресурсы и распределить риски, что особенно важно для стран с формирующейся рыночной экономикой. Гибкая организационная структура и доступ к различным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финансовым рын</w:t>
      </w:r>
      <w:r w:rsidR="001B326E">
        <w:rPr>
          <w:rFonts w:ascii="Times New Roman" w:eastAsia="Times New Roman" w:hAnsi="Times New Roman" w:cs="Times New Roman"/>
          <w:spacing w:val="-6"/>
          <w:sz w:val="28"/>
          <w:szCs w:val="28"/>
        </w:rPr>
        <w:t>кам позволяют инвестиционным бан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>кам выстроить стратегию развития, в наибольшей степени отвечающую постоянно меняющейся рыночной конъюнктуре, что также актуально для России.</w:t>
      </w:r>
    </w:p>
    <w:p w:rsidR="00545FF6" w:rsidRPr="00545FF6" w:rsidRDefault="00545FF6" w:rsidP="00545FF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Инвестиционные банки всегда стремились к инновациям, хотя они и сопряжены с затратами, которые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далеко не всегда окупаются. Тем не менее, как показывает опыт американских инвестиционных банков,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инновации - важный инструмент в конкурентной борьбе. При этом указанные банки в зависимости от их </w:t>
      </w:r>
      <w:r w:rsidRPr="00545F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ориентации на тех или иных клиентов, продуктового диапазона, масштаба розничной распределительной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сети, уровня капитализации можно условно разделить на соответствующие стратегические группы. Важно </w:t>
      </w:r>
      <w:r w:rsidRPr="00545FF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также отметить, что, несмотря на схожесть банков в рамках отдельной подобной группы и в некоторой 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t>степени даже между стратегическими группами, стратегии банков и способы их реализации могут сущест</w:t>
      </w:r>
      <w:r w:rsidRPr="00545FF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45FF6">
        <w:rPr>
          <w:rFonts w:ascii="Times New Roman" w:eastAsia="Times New Roman" w:hAnsi="Times New Roman" w:cs="Times New Roman"/>
          <w:sz w:val="28"/>
          <w:szCs w:val="28"/>
        </w:rPr>
        <w:t>венно различаться.</w:t>
      </w:r>
    </w:p>
    <w:p w:rsidR="006F5D11" w:rsidRPr="006F5D11" w:rsidRDefault="006F5D11" w:rsidP="006F5D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Американские инвестиционные банки не смогли бы добиться таких результатов, не обладай они </w:t>
      </w:r>
      <w:r w:rsidRPr="006F5D11">
        <w:rPr>
          <w:rFonts w:ascii="Times New Roman" w:eastAsia="Times New Roman" w:hAnsi="Times New Roman" w:cs="Times New Roman"/>
          <w:spacing w:val="-7"/>
          <w:sz w:val="28"/>
          <w:szCs w:val="28"/>
        </w:rPr>
        <w:t>гибкой и разветвленной структурой, отлаженными внешними и внутренними связями, продуманной систе</w:t>
      </w:r>
      <w:r w:rsidRPr="006F5D11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F5D11">
        <w:rPr>
          <w:rFonts w:ascii="Times New Roman" w:eastAsia="Times New Roman" w:hAnsi="Times New Roman" w:cs="Times New Roman"/>
          <w:spacing w:val="-6"/>
          <w:sz w:val="28"/>
          <w:szCs w:val="28"/>
        </w:rPr>
        <w:t>мой стимулирования инициатив сотрудников и, что не менее важно, - действенной системой внутреннего контроля. Управление такими сложными организационными структурами требует профессионализма и, можно сказать, большого искусства. Представляется, что опыт управленческих решений ведущих аме</w:t>
      </w:r>
      <w:r w:rsidRPr="006F5D11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риканских инвестиционных банков может быть использован в России.</w:t>
      </w:r>
    </w:p>
    <w:p w:rsidR="00E5238F" w:rsidRPr="006F5D11" w:rsidRDefault="00E5238F" w:rsidP="006F5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8F" w:rsidRDefault="00E5238F" w:rsidP="00B0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EC" w:rsidRDefault="00E03120" w:rsidP="005848C2">
      <w:pPr>
        <w:pStyle w:val="3"/>
        <w:spacing w:line="360" w:lineRule="auto"/>
      </w:pPr>
      <w:bookmarkStart w:id="5" w:name="_Toc213328639"/>
      <w:r>
        <w:lastRenderedPageBreak/>
        <w:t>ЗАКЛЮЧЕНИЕ</w:t>
      </w:r>
      <w:bookmarkEnd w:id="5"/>
    </w:p>
    <w:p w:rsidR="00D70516" w:rsidRPr="00CE7D88" w:rsidRDefault="00257CC3" w:rsidP="005848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инвестиционная деятельность имеет высокий потенциал. Во-первых, растет величина акционируемого капитала; во-вторых, на российском финансовом рынке постоянно увеличивается потребность в крупных долгосрочных инвестициях под надежные гарантии воз</w:t>
      </w:r>
      <w:r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вратности и доходности вложений. Несмотря на один из парадоксов российского рынка ценных бумаг (сравнительно большое количество профессиональных участников при более чем скромных оборотах сде</w:t>
      </w:r>
      <w:r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лок), остается практически незанятой широкая ниша, предназначенная для инвестиционных банков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516"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0516"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9F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0516" w:rsidRPr="00CE7D88">
        <w:rPr>
          <w:rFonts w:ascii="Times New Roman" w:eastAsia="Times New Roman" w:hAnsi="Times New Roman" w:cs="Times New Roman"/>
          <w:color w:val="000000"/>
          <w:sz w:val="28"/>
          <w:szCs w:val="28"/>
        </w:rPr>
        <w:t>246]</w:t>
      </w:r>
    </w:p>
    <w:p w:rsidR="00257CC3" w:rsidRPr="006F5D11" w:rsidRDefault="00257CC3" w:rsidP="00257C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 xml:space="preserve"> течение длительного времен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и особенно в последние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годы,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инвестиционные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банки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убедительно доказывают свою роль в качестве наиболее эффективных финансовых институтов по привлечению капитала и реструктуризации бизнеса. Острая потребность экономики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инвестициях делает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актуальным развитие таких институтов и в нашей стране. Безусловно, для успешной деятельности инвести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ционных банков, которые имеют свои технологии, организационную структуру,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пецифические иски, не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softHyphen/>
        <w:t>обходима соответствующая законодательная база, регулирующая инвестиционно-банковскую деятельность. При этом очень важно также сохранить достигнутые успехи в макроэкономике, осуществить переход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t>предприятий и банков на международные стандарты финансовой отчетности, обеспечить дальнейшее ус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softHyphen/>
        <w:t>тойчивое развитие банковского сектора. Продуманное применение всего лучшего из мирового опыта будет</w:t>
      </w:r>
      <w:r w:rsidRPr="006F5D11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позитивным изменениям в финансово-банковском секторе России.</w:t>
      </w:r>
    </w:p>
    <w:p w:rsidR="00CD40EC" w:rsidRDefault="00CD40EC" w:rsidP="00B0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EC" w:rsidRDefault="00CD40EC" w:rsidP="00B0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EC" w:rsidRDefault="00CD40EC" w:rsidP="00B0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C2" w:rsidRDefault="005848C2" w:rsidP="00B0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EC" w:rsidRDefault="00CD40EC" w:rsidP="00B0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8F" w:rsidRDefault="00E03120" w:rsidP="005848C2">
      <w:pPr>
        <w:pStyle w:val="3"/>
        <w:spacing w:line="360" w:lineRule="auto"/>
      </w:pPr>
      <w:bookmarkStart w:id="6" w:name="_Toc213328640"/>
      <w:r w:rsidRPr="005C1D3C">
        <w:lastRenderedPageBreak/>
        <w:t>ЛИТЕРАТУРА</w:t>
      </w:r>
      <w:bookmarkEnd w:id="6"/>
    </w:p>
    <w:p w:rsidR="00912776" w:rsidRPr="00912776" w:rsidRDefault="00912776" w:rsidP="00912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2776">
        <w:rPr>
          <w:rFonts w:eastAsia="Times New Roman"/>
          <w:b/>
          <w:bCs/>
        </w:rPr>
        <w:t xml:space="preserve"> </w:t>
      </w:r>
      <w:r w:rsidRPr="00912776">
        <w:rPr>
          <w:rFonts w:ascii="Times New Roman" w:eastAsia="Times New Roman" w:hAnsi="Times New Roman" w:cs="Times New Roman"/>
          <w:bCs/>
          <w:sz w:val="28"/>
          <w:szCs w:val="28"/>
        </w:rPr>
        <w:t>Ценные бумаги:</w:t>
      </w:r>
      <w:r w:rsidRPr="00912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2776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15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76">
        <w:rPr>
          <w:rFonts w:ascii="Times New Roman" w:eastAsia="Times New Roman" w:hAnsi="Times New Roman" w:cs="Times New Roman"/>
          <w:sz w:val="28"/>
          <w:szCs w:val="28"/>
        </w:rPr>
        <w:t>/Под ред. В. И. Колесникова, В. С. Торкановского. — М.: Финансы и статистика, 1998. — 416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D7" w:rsidRDefault="00D501D0" w:rsidP="005C1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D3C" w:rsidRPr="005C1D3C">
        <w:rPr>
          <w:rFonts w:ascii="Times New Roman" w:hAnsi="Times New Roman" w:cs="Times New Roman"/>
          <w:sz w:val="28"/>
          <w:szCs w:val="28"/>
        </w:rPr>
        <w:t xml:space="preserve">. </w:t>
      </w:r>
      <w:r w:rsidR="00E94AF0">
        <w:rPr>
          <w:rFonts w:ascii="Times New Roman" w:hAnsi="Times New Roman" w:cs="Times New Roman"/>
          <w:sz w:val="28"/>
          <w:szCs w:val="28"/>
        </w:rPr>
        <w:t>Геращенко</w:t>
      </w:r>
      <w:r w:rsidRPr="00D5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E94AF0">
        <w:rPr>
          <w:rFonts w:ascii="Times New Roman" w:hAnsi="Times New Roman" w:cs="Times New Roman"/>
          <w:sz w:val="28"/>
          <w:szCs w:val="28"/>
        </w:rPr>
        <w:t>, Смирнов</w:t>
      </w:r>
      <w:r w:rsidRPr="00D5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А.Л.</w:t>
      </w:r>
      <w:r w:rsidR="00E94AF0">
        <w:rPr>
          <w:rFonts w:ascii="Times New Roman" w:hAnsi="Times New Roman" w:cs="Times New Roman"/>
          <w:sz w:val="28"/>
          <w:szCs w:val="28"/>
        </w:rPr>
        <w:t xml:space="preserve"> Инвестиционно-банковский бизнес: зарубежный опыт и Россия// Деньги и кредит.</w:t>
      </w:r>
      <w:r w:rsidR="0061550D">
        <w:rPr>
          <w:rFonts w:ascii="Times New Roman" w:hAnsi="Times New Roman" w:cs="Times New Roman"/>
          <w:sz w:val="28"/>
          <w:szCs w:val="28"/>
        </w:rPr>
        <w:t xml:space="preserve"> – </w:t>
      </w:r>
      <w:r w:rsidR="00E94AF0">
        <w:rPr>
          <w:rFonts w:ascii="Times New Roman" w:hAnsi="Times New Roman" w:cs="Times New Roman"/>
          <w:sz w:val="28"/>
          <w:szCs w:val="28"/>
        </w:rPr>
        <w:t>2007</w:t>
      </w:r>
      <w:r w:rsidR="0061550D">
        <w:rPr>
          <w:rFonts w:ascii="Times New Roman" w:hAnsi="Times New Roman" w:cs="Times New Roman"/>
          <w:sz w:val="28"/>
          <w:szCs w:val="28"/>
        </w:rPr>
        <w:t xml:space="preserve">. – </w:t>
      </w:r>
      <w:r w:rsidR="00E94AF0">
        <w:rPr>
          <w:rFonts w:ascii="Times New Roman" w:hAnsi="Times New Roman" w:cs="Times New Roman"/>
          <w:sz w:val="28"/>
          <w:szCs w:val="28"/>
        </w:rPr>
        <w:t>№5. – с.24-28</w:t>
      </w:r>
      <w:r w:rsidR="0061550D">
        <w:rPr>
          <w:rFonts w:ascii="Times New Roman" w:hAnsi="Times New Roman" w:cs="Times New Roman"/>
          <w:sz w:val="28"/>
          <w:szCs w:val="28"/>
        </w:rPr>
        <w:t>.</w:t>
      </w:r>
    </w:p>
    <w:p w:rsidR="00D501D0" w:rsidRPr="005C1D3C" w:rsidRDefault="00D501D0" w:rsidP="00D5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1D3C">
        <w:rPr>
          <w:rFonts w:ascii="Times New Roman" w:hAnsi="Times New Roman" w:cs="Times New Roman"/>
          <w:sz w:val="28"/>
          <w:szCs w:val="28"/>
        </w:rPr>
        <w:t>. Фомина</w:t>
      </w:r>
      <w:r w:rsidRPr="00D501D0">
        <w:rPr>
          <w:rFonts w:ascii="Times New Roman" w:hAnsi="Times New Roman" w:cs="Times New Roman"/>
          <w:sz w:val="28"/>
          <w:szCs w:val="28"/>
        </w:rPr>
        <w:t xml:space="preserve"> </w:t>
      </w:r>
      <w:r w:rsidRPr="005C1D3C">
        <w:rPr>
          <w:rFonts w:ascii="Times New Roman" w:hAnsi="Times New Roman" w:cs="Times New Roman"/>
          <w:sz w:val="28"/>
          <w:szCs w:val="28"/>
        </w:rPr>
        <w:t>С.С. Виды деятельности банков на рынке ценных бумаг/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C1D3C">
        <w:rPr>
          <w:rFonts w:ascii="Times New Roman" w:hAnsi="Times New Roman" w:cs="Times New Roman"/>
          <w:sz w:val="28"/>
          <w:szCs w:val="28"/>
        </w:rPr>
        <w:t>Банковский аудит.</w:t>
      </w:r>
      <w:r w:rsidR="0061550D">
        <w:rPr>
          <w:rFonts w:ascii="Times New Roman" w:hAnsi="Times New Roman" w:cs="Times New Roman"/>
          <w:sz w:val="28"/>
          <w:szCs w:val="28"/>
        </w:rPr>
        <w:t xml:space="preserve"> –  2007. – №2. – </w:t>
      </w:r>
      <w:r w:rsidRPr="005C1D3C">
        <w:rPr>
          <w:rFonts w:ascii="Times New Roman" w:hAnsi="Times New Roman" w:cs="Times New Roman"/>
          <w:sz w:val="28"/>
          <w:szCs w:val="28"/>
        </w:rPr>
        <w:t xml:space="preserve"> с.49-54</w:t>
      </w:r>
      <w:r w:rsidR="0061550D">
        <w:rPr>
          <w:rFonts w:ascii="Times New Roman" w:hAnsi="Times New Roman" w:cs="Times New Roman"/>
          <w:sz w:val="28"/>
          <w:szCs w:val="28"/>
        </w:rPr>
        <w:t>.</w:t>
      </w:r>
    </w:p>
    <w:p w:rsidR="005C1D3C" w:rsidRDefault="005C1D3C" w:rsidP="005C1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3C">
        <w:rPr>
          <w:rFonts w:ascii="Times New Roman" w:hAnsi="Times New Roman" w:cs="Times New Roman"/>
          <w:sz w:val="28"/>
          <w:szCs w:val="28"/>
        </w:rPr>
        <w:t xml:space="preserve">4. Программа информационной поддержки российской науки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1D3C">
        <w:rPr>
          <w:rFonts w:ascii="Times New Roman" w:hAnsi="Times New Roman" w:cs="Times New Roman"/>
          <w:sz w:val="28"/>
          <w:szCs w:val="28"/>
        </w:rPr>
        <w:t>образования КонсультантПлюс: Высшая школа</w:t>
      </w:r>
    </w:p>
    <w:p w:rsidR="00912776" w:rsidRPr="005C1D3C" w:rsidRDefault="00912776" w:rsidP="00912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1D3C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5C1D3C">
          <w:rPr>
            <w:rStyle w:val="a3"/>
            <w:rFonts w:ascii="Times New Roman" w:hAnsi="Times New Roman" w:cs="Times New Roman"/>
            <w:sz w:val="28"/>
            <w:szCs w:val="28"/>
          </w:rPr>
          <w:t>www.bibliotekar.ru/biznes-19/11.htm</w:t>
        </w:r>
      </w:hyperlink>
    </w:p>
    <w:p w:rsidR="00E5238F" w:rsidRPr="00E5238F" w:rsidRDefault="00E5238F" w:rsidP="00E5238F">
      <w:pPr>
        <w:rPr>
          <w:rFonts w:ascii="Times New Roman" w:hAnsi="Times New Roman" w:cs="Times New Roman"/>
          <w:sz w:val="28"/>
        </w:rPr>
      </w:pPr>
    </w:p>
    <w:p w:rsidR="00E5238F" w:rsidRDefault="00E5238F" w:rsidP="00E5238F"/>
    <w:p w:rsidR="00E5238F" w:rsidRPr="00E5238F" w:rsidRDefault="00E5238F" w:rsidP="00E52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5238F" w:rsidRPr="00E5238F" w:rsidSect="00DA797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CA" w:rsidRDefault="002614CA" w:rsidP="00DA7978">
      <w:pPr>
        <w:spacing w:after="0" w:line="240" w:lineRule="auto"/>
      </w:pPr>
      <w:r>
        <w:separator/>
      </w:r>
    </w:p>
  </w:endnote>
  <w:endnote w:type="continuationSeparator" w:id="1">
    <w:p w:rsidR="002614CA" w:rsidRDefault="002614CA" w:rsidP="00DA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22"/>
      <w:docPartObj>
        <w:docPartGallery w:val="Page Numbers (Bottom of Page)"/>
        <w:docPartUnique/>
      </w:docPartObj>
    </w:sdtPr>
    <w:sdtContent>
      <w:p w:rsidR="005848C2" w:rsidRDefault="0098346D">
        <w:pPr>
          <w:pStyle w:val="a6"/>
          <w:jc w:val="center"/>
        </w:pPr>
        <w:fldSimple w:instr=" PAGE   \* MERGEFORMAT ">
          <w:r w:rsidR="0025211D">
            <w:rPr>
              <w:noProof/>
            </w:rPr>
            <w:t>18</w:t>
          </w:r>
        </w:fldSimple>
      </w:p>
    </w:sdtContent>
  </w:sdt>
  <w:p w:rsidR="005848C2" w:rsidRDefault="005848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CA" w:rsidRDefault="002614CA" w:rsidP="00DA7978">
      <w:pPr>
        <w:spacing w:after="0" w:line="240" w:lineRule="auto"/>
      </w:pPr>
      <w:r>
        <w:separator/>
      </w:r>
    </w:p>
  </w:footnote>
  <w:footnote w:type="continuationSeparator" w:id="1">
    <w:p w:rsidR="002614CA" w:rsidRDefault="002614CA" w:rsidP="00DA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104"/>
    <w:multiLevelType w:val="singleLevel"/>
    <w:tmpl w:val="7638D0B6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>
    <w:nsid w:val="22B47EF8"/>
    <w:multiLevelType w:val="hybridMultilevel"/>
    <w:tmpl w:val="A51E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C1216"/>
    <w:multiLevelType w:val="singleLevel"/>
    <w:tmpl w:val="FAE84A08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7560395C"/>
    <w:multiLevelType w:val="hybridMultilevel"/>
    <w:tmpl w:val="6E96E8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1D4"/>
    <w:rsid w:val="000018E2"/>
    <w:rsid w:val="00057048"/>
    <w:rsid w:val="00071BD5"/>
    <w:rsid w:val="00071EB8"/>
    <w:rsid w:val="00086DE6"/>
    <w:rsid w:val="000D2C5C"/>
    <w:rsid w:val="000E7608"/>
    <w:rsid w:val="001334D7"/>
    <w:rsid w:val="00142371"/>
    <w:rsid w:val="00152DD6"/>
    <w:rsid w:val="00170777"/>
    <w:rsid w:val="00191C44"/>
    <w:rsid w:val="001A5D0B"/>
    <w:rsid w:val="001B326E"/>
    <w:rsid w:val="001C1D3D"/>
    <w:rsid w:val="001E1528"/>
    <w:rsid w:val="001E7A86"/>
    <w:rsid w:val="001F1ABD"/>
    <w:rsid w:val="001F6D59"/>
    <w:rsid w:val="0021677B"/>
    <w:rsid w:val="00230846"/>
    <w:rsid w:val="00236F68"/>
    <w:rsid w:val="0025211D"/>
    <w:rsid w:val="00257CC3"/>
    <w:rsid w:val="002614CA"/>
    <w:rsid w:val="002969C1"/>
    <w:rsid w:val="00314403"/>
    <w:rsid w:val="00321DF2"/>
    <w:rsid w:val="00361A14"/>
    <w:rsid w:val="0036776F"/>
    <w:rsid w:val="00380ED9"/>
    <w:rsid w:val="0039717A"/>
    <w:rsid w:val="003A0921"/>
    <w:rsid w:val="003B2D56"/>
    <w:rsid w:val="003C449A"/>
    <w:rsid w:val="003F2920"/>
    <w:rsid w:val="004808E1"/>
    <w:rsid w:val="00481EE8"/>
    <w:rsid w:val="00545FF6"/>
    <w:rsid w:val="005848C2"/>
    <w:rsid w:val="0059253F"/>
    <w:rsid w:val="005C1D3C"/>
    <w:rsid w:val="005D1355"/>
    <w:rsid w:val="0061550D"/>
    <w:rsid w:val="00621176"/>
    <w:rsid w:val="0065121F"/>
    <w:rsid w:val="00690AF2"/>
    <w:rsid w:val="006C7C55"/>
    <w:rsid w:val="006D2855"/>
    <w:rsid w:val="006D41F1"/>
    <w:rsid w:val="006F5D11"/>
    <w:rsid w:val="0071504E"/>
    <w:rsid w:val="0073239A"/>
    <w:rsid w:val="00755B91"/>
    <w:rsid w:val="0078264B"/>
    <w:rsid w:val="0079458D"/>
    <w:rsid w:val="007958A7"/>
    <w:rsid w:val="007F3F00"/>
    <w:rsid w:val="00823280"/>
    <w:rsid w:val="008904BC"/>
    <w:rsid w:val="008A5706"/>
    <w:rsid w:val="008B6363"/>
    <w:rsid w:val="00912776"/>
    <w:rsid w:val="00952BE2"/>
    <w:rsid w:val="0098346D"/>
    <w:rsid w:val="00991433"/>
    <w:rsid w:val="00995124"/>
    <w:rsid w:val="009A3B70"/>
    <w:rsid w:val="009C5887"/>
    <w:rsid w:val="009D3B4B"/>
    <w:rsid w:val="009E4B27"/>
    <w:rsid w:val="009F36D3"/>
    <w:rsid w:val="009F55EF"/>
    <w:rsid w:val="00A23FE0"/>
    <w:rsid w:val="00A35547"/>
    <w:rsid w:val="00AC31D4"/>
    <w:rsid w:val="00AF0ADB"/>
    <w:rsid w:val="00B016A4"/>
    <w:rsid w:val="00B50171"/>
    <w:rsid w:val="00B70F2A"/>
    <w:rsid w:val="00BA3DB9"/>
    <w:rsid w:val="00BA6E96"/>
    <w:rsid w:val="00BB6FA9"/>
    <w:rsid w:val="00BD032E"/>
    <w:rsid w:val="00C975EB"/>
    <w:rsid w:val="00CA2B1E"/>
    <w:rsid w:val="00CD40EC"/>
    <w:rsid w:val="00CE63EC"/>
    <w:rsid w:val="00CE7D88"/>
    <w:rsid w:val="00D346A9"/>
    <w:rsid w:val="00D501D0"/>
    <w:rsid w:val="00D70516"/>
    <w:rsid w:val="00DA7978"/>
    <w:rsid w:val="00DC742F"/>
    <w:rsid w:val="00E02606"/>
    <w:rsid w:val="00E03120"/>
    <w:rsid w:val="00E34CC9"/>
    <w:rsid w:val="00E5238F"/>
    <w:rsid w:val="00E64534"/>
    <w:rsid w:val="00E90ADD"/>
    <w:rsid w:val="00E94AF0"/>
    <w:rsid w:val="00EB3B38"/>
    <w:rsid w:val="00ED471E"/>
    <w:rsid w:val="00EF1DD3"/>
    <w:rsid w:val="00F12FFD"/>
    <w:rsid w:val="00F54058"/>
    <w:rsid w:val="00F83932"/>
    <w:rsid w:val="00F85F5D"/>
    <w:rsid w:val="00F95510"/>
    <w:rsid w:val="00FD0A86"/>
    <w:rsid w:val="00FD1240"/>
    <w:rsid w:val="00FE2BF3"/>
    <w:rsid w:val="00FE556C"/>
    <w:rsid w:val="00FF22F6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2F"/>
  </w:style>
  <w:style w:type="paragraph" w:styleId="2">
    <w:name w:val="heading 2"/>
    <w:basedOn w:val="a"/>
    <w:next w:val="a"/>
    <w:link w:val="20"/>
    <w:unhideWhenUsed/>
    <w:qFormat/>
    <w:rsid w:val="00AC31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C3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3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1D4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AC31D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C31D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rsid w:val="003B2D56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3B2D5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A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978"/>
  </w:style>
  <w:style w:type="paragraph" w:styleId="a6">
    <w:name w:val="footer"/>
    <w:basedOn w:val="a"/>
    <w:link w:val="a7"/>
    <w:uiPriority w:val="99"/>
    <w:unhideWhenUsed/>
    <w:rsid w:val="00DA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978"/>
  </w:style>
  <w:style w:type="character" w:styleId="a8">
    <w:name w:val="FollowedHyperlink"/>
    <w:basedOn w:val="a0"/>
    <w:uiPriority w:val="99"/>
    <w:semiHidden/>
    <w:unhideWhenUsed/>
    <w:rsid w:val="00E5238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23FE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E7D8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D88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5848C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biznes-19/1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8697-86B6-43A0-B66A-6816B268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87</cp:revision>
  <cp:lastPrinted>2008-11-01T12:53:00Z</cp:lastPrinted>
  <dcterms:created xsi:type="dcterms:W3CDTF">2008-10-31T08:15:00Z</dcterms:created>
  <dcterms:modified xsi:type="dcterms:W3CDTF">2009-10-16T20:32:00Z</dcterms:modified>
</cp:coreProperties>
</file>